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1FD612" w14:textId="4915F8DD" w:rsidR="0085438C" w:rsidRDefault="0085438C" w:rsidP="0085438C">
      <w:pPr>
        <w:rPr>
          <w:rFonts w:ascii="Rockwell" w:eastAsiaTheme="majorEastAsia" w:hAnsi="Rockwell" w:cstheme="majorBidi"/>
          <w:bCs/>
          <w:color w:val="860908" w:themeColor="accent1"/>
          <w:sz w:val="24"/>
          <w:szCs w:val="24"/>
        </w:rPr>
      </w:pPr>
      <w:r>
        <w:rPr>
          <w:rFonts w:ascii="Rockwell" w:eastAsiaTheme="majorEastAsia" w:hAnsi="Rockwell" w:cstheme="majorBidi"/>
          <w:bCs/>
          <w:color w:val="860908" w:themeColor="accent1"/>
          <w:sz w:val="24"/>
          <w:szCs w:val="24"/>
        </w:rPr>
        <w:t>IRMA Overview</w:t>
      </w:r>
      <w:bookmarkStart w:id="0" w:name="_GoBack"/>
      <w:bookmarkEnd w:id="0"/>
    </w:p>
    <w:p w14:paraId="51821759" w14:textId="77777777" w:rsidR="00822520" w:rsidRDefault="00822520" w:rsidP="00822520">
      <w:r w:rsidRPr="0085438C">
        <w:t xml:space="preserve">Founded in 2006 by a coalition of nongovernment organizations, businesses purchasing minerals and metals for resale in other products, affected communities, mining companies, and trade unions, the Initiative for Responsible Mining Assurance (IRMA) is developing </w:t>
      </w:r>
      <w:r>
        <w:t>a global standard</w:t>
      </w:r>
      <w:r w:rsidRPr="0085438C">
        <w:t xml:space="preserve"> for </w:t>
      </w:r>
      <w:r>
        <w:t>certification of environmental and social performance</w:t>
      </w:r>
      <w:r w:rsidRPr="0085438C">
        <w:t xml:space="preserve"> related to industrial-scale mining, including labor rights, human rights, indigenous peoples and cultural heritage, conflict response, po</w:t>
      </w:r>
      <w:r>
        <w:t>llution control and site reclamation</w:t>
      </w:r>
      <w:r w:rsidRPr="0085438C">
        <w:t>.</w:t>
      </w:r>
    </w:p>
    <w:p w14:paraId="06C69BE2" w14:textId="77777777" w:rsidR="00822520" w:rsidRDefault="00822520" w:rsidP="00822520">
      <w:r>
        <w:t>Mining is a complex and intensive process that causes environmental and social change no matter where it occurs. IRMA's vision is that of a world in which the mining industry respects human rights and the aspirations of affected communities; provides safe, healthy and respectful workplaces; avoids or minimizes harm to the environment; and leaves positive legacies.</w:t>
      </w:r>
    </w:p>
    <w:p w14:paraId="0C56EBD2" w14:textId="6972BD4A" w:rsidR="00822520" w:rsidRDefault="00822520" w:rsidP="00822520">
      <w:r>
        <w:t xml:space="preserve">IRMA’s mission is to establish a multi-stakeholder and independently verified responsible mining assurance system that improves </w:t>
      </w:r>
      <w:r w:rsidR="005B388F">
        <w:t xml:space="preserve">the </w:t>
      </w:r>
      <w:r>
        <w:t>social and environmental performance</w:t>
      </w:r>
      <w:r w:rsidR="005B388F">
        <w:t xml:space="preserve"> of mine sites around the world</w:t>
      </w:r>
      <w:r>
        <w:t xml:space="preserve">. </w:t>
      </w:r>
    </w:p>
    <w:p w14:paraId="776160A5" w14:textId="77777777" w:rsidR="0085438C" w:rsidRDefault="0085438C">
      <w:pPr>
        <w:spacing w:before="240"/>
        <w:rPr>
          <w:rFonts w:ascii="Rockwell" w:eastAsiaTheme="majorEastAsia" w:hAnsi="Rockwell" w:cstheme="majorBidi"/>
          <w:bCs/>
          <w:color w:val="860908" w:themeColor="accent1"/>
          <w:sz w:val="24"/>
          <w:szCs w:val="24"/>
        </w:rPr>
      </w:pPr>
      <w:r w:rsidRPr="0085438C">
        <w:rPr>
          <w:rFonts w:ascii="Rockwell" w:eastAsiaTheme="majorEastAsia" w:hAnsi="Rockwell" w:cstheme="majorBidi"/>
          <w:bCs/>
          <w:color w:val="860908" w:themeColor="accent1"/>
          <w:sz w:val="24"/>
          <w:szCs w:val="24"/>
        </w:rPr>
        <w:t>Terms of Reference</w:t>
      </w:r>
    </w:p>
    <w:p w14:paraId="245819FA" w14:textId="2F894CA5" w:rsidR="00822520" w:rsidRDefault="00822520" w:rsidP="00822520">
      <w:r>
        <w:t xml:space="preserve">IRMA seeks contract assistance for the purpose of developing </w:t>
      </w:r>
      <w:r w:rsidR="00FD4FFC">
        <w:t xml:space="preserve">and </w:t>
      </w:r>
      <w:r w:rsidR="000B6486">
        <w:t>implementing</w:t>
      </w:r>
      <w:r w:rsidR="00FD4FFC">
        <w:t xml:space="preserve"> </w:t>
      </w:r>
      <w:r>
        <w:t>a</w:t>
      </w:r>
      <w:r w:rsidR="00FD4FFC">
        <w:t>n assurance</w:t>
      </w:r>
      <w:r>
        <w:t xml:space="preserve"> program </w:t>
      </w:r>
      <w:r w:rsidR="00EB0D90">
        <w:t xml:space="preserve">that includes independent third-party </w:t>
      </w:r>
      <w:r>
        <w:t>audit</w:t>
      </w:r>
      <w:r w:rsidR="00EB0D90">
        <w:t>ing</w:t>
      </w:r>
      <w:r>
        <w:t xml:space="preserve"> </w:t>
      </w:r>
      <w:r w:rsidR="00EB0D90">
        <w:t xml:space="preserve">of </w:t>
      </w:r>
      <w:r>
        <w:t xml:space="preserve">mine sites </w:t>
      </w:r>
      <w:r w:rsidR="00EB0D90">
        <w:t>against</w:t>
      </w:r>
      <w:r>
        <w:t xml:space="preserve"> the </w:t>
      </w:r>
      <w:r w:rsidRPr="000F0332">
        <w:rPr>
          <w:i/>
        </w:rPr>
        <w:t>Standard for Responsible Mining</w:t>
      </w:r>
      <w:r>
        <w:t xml:space="preserve"> for the purpose of certification. </w:t>
      </w:r>
    </w:p>
    <w:p w14:paraId="1272B30C" w14:textId="77777777" w:rsidR="00EB0D90" w:rsidRDefault="00EB0D90" w:rsidP="00822520">
      <w:pPr>
        <w:rPr>
          <w:u w:val="single"/>
        </w:rPr>
      </w:pPr>
    </w:p>
    <w:p w14:paraId="2BD479C3" w14:textId="237BDD0F" w:rsidR="00822520" w:rsidRDefault="00822520" w:rsidP="00822520">
      <w:r w:rsidRPr="00691ED5">
        <w:rPr>
          <w:u w:val="single"/>
        </w:rPr>
        <w:t>Background</w:t>
      </w:r>
      <w:r>
        <w:t>:</w:t>
      </w:r>
    </w:p>
    <w:p w14:paraId="49B50C49" w14:textId="71CD1C16" w:rsidR="00822520" w:rsidRDefault="00C31F2C" w:rsidP="00FE1D03">
      <w:r>
        <w:t xml:space="preserve">In 2012, </w:t>
      </w:r>
      <w:r w:rsidR="00822520">
        <w:t>IRMA’s Steering Committee</w:t>
      </w:r>
      <w:r>
        <w:t xml:space="preserve"> </w:t>
      </w:r>
      <w:r w:rsidR="00822520">
        <w:t xml:space="preserve">reviewed four possible models on which to base IRMA’s </w:t>
      </w:r>
      <w:r w:rsidR="0068758B">
        <w:t xml:space="preserve">assurance </w:t>
      </w:r>
      <w:r w:rsidR="00822520">
        <w:t>program</w:t>
      </w:r>
      <w:r w:rsidR="00FE1D03">
        <w:t xml:space="preserve">. </w:t>
      </w:r>
      <w:r w:rsidR="0005465D">
        <w:t>IRMA’s Steering Committee sought</w:t>
      </w:r>
      <w:r w:rsidR="00822520">
        <w:t xml:space="preserve"> to strike a balance between retaini</w:t>
      </w:r>
      <w:r w:rsidR="0005465D">
        <w:t>ng some authority for oversight</w:t>
      </w:r>
      <w:r w:rsidR="00822520">
        <w:t xml:space="preserve"> and </w:t>
      </w:r>
      <w:r w:rsidR="0005465D">
        <w:t>quality assurance</w:t>
      </w:r>
      <w:r w:rsidR="00822520">
        <w:t>, while also recognizing the complexity and breadth of the global environment in which industrial-scale mine sites applying to IRMA operate</w:t>
      </w:r>
      <w:r w:rsidR="00FE1D03">
        <w:t xml:space="preserve">, and so they selected the </w:t>
      </w:r>
      <w:r w:rsidR="000B6486">
        <w:t xml:space="preserve">verification </w:t>
      </w:r>
      <w:r w:rsidR="00FE1D03">
        <w:t xml:space="preserve">model “2.5” </w:t>
      </w:r>
      <w:r w:rsidR="000B6486">
        <w:t>(see diagram).</w:t>
      </w:r>
      <w:r w:rsidR="00822520">
        <w:t xml:space="preserve"> </w:t>
      </w:r>
    </w:p>
    <w:p w14:paraId="5FBB093A" w14:textId="6C9ED5C1" w:rsidR="000B6486" w:rsidRDefault="000565E9" w:rsidP="00822520">
      <w:r>
        <w:rPr>
          <w:noProof/>
          <w:lang w:eastAsia="en-US"/>
        </w:rPr>
        <w:drawing>
          <wp:anchor distT="182880" distB="182880" distL="114300" distR="114300" simplePos="0" relativeHeight="251658240" behindDoc="0" locked="0" layoutInCell="1" allowOverlap="1" wp14:anchorId="036D8A4F" wp14:editId="4507E00B">
            <wp:simplePos x="0" y="0"/>
            <wp:positionH relativeFrom="column">
              <wp:posOffset>3175</wp:posOffset>
            </wp:positionH>
            <wp:positionV relativeFrom="paragraph">
              <wp:posOffset>-3175</wp:posOffset>
            </wp:positionV>
            <wp:extent cx="3391535" cy="2494915"/>
            <wp:effectExtent l="0" t="0" r="1206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91535" cy="2494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2520">
        <w:t xml:space="preserve">At the time when IRMA’s Steering Committee adopted </w:t>
      </w:r>
      <w:r w:rsidR="000B6486">
        <w:t xml:space="preserve">model </w:t>
      </w:r>
      <w:r w:rsidR="00822520">
        <w:t xml:space="preserve">2.5 in principle, IRMA did not yet have a draft </w:t>
      </w:r>
      <w:hyperlink r:id="rId8" w:history="1">
        <w:r w:rsidR="00822520" w:rsidRPr="0068758B">
          <w:rPr>
            <w:rStyle w:val="Hyperlink"/>
            <w:i/>
          </w:rPr>
          <w:t>Standard for Responsible Mining</w:t>
        </w:r>
      </w:hyperlink>
      <w:r w:rsidR="00822520">
        <w:t xml:space="preserve">. IRMA </w:t>
      </w:r>
      <w:r w:rsidR="00EB0D90">
        <w:t xml:space="preserve">has since </w:t>
      </w:r>
      <w:r w:rsidR="00822520">
        <w:t xml:space="preserve">released </w:t>
      </w:r>
      <w:r w:rsidR="000B6486">
        <w:t xml:space="preserve">two </w:t>
      </w:r>
      <w:r w:rsidR="00822520">
        <w:t>draft</w:t>
      </w:r>
      <w:r w:rsidR="000B6486">
        <w:t>s of its</w:t>
      </w:r>
      <w:r w:rsidR="00822520">
        <w:t xml:space="preserve"> </w:t>
      </w:r>
      <w:r w:rsidR="00822520" w:rsidRPr="006A5DD7">
        <w:rPr>
          <w:i/>
        </w:rPr>
        <w:t>Standard for Responsible Mining</w:t>
      </w:r>
      <w:r w:rsidR="00822520">
        <w:t xml:space="preserve"> </w:t>
      </w:r>
      <w:r w:rsidR="006A5DD7">
        <w:t xml:space="preserve">for public </w:t>
      </w:r>
      <w:proofErr w:type="gramStart"/>
      <w:r w:rsidR="006A5DD7">
        <w:t>comment</w:t>
      </w:r>
      <w:r w:rsidR="00EB0D90">
        <w:t>, and</w:t>
      </w:r>
      <w:proofErr w:type="gramEnd"/>
      <w:r w:rsidR="00EB0D90">
        <w:t xml:space="preserve"> is in the process of preparing a final version of the Standard </w:t>
      </w:r>
      <w:r w:rsidR="006A5DD7">
        <w:t xml:space="preserve">based on </w:t>
      </w:r>
      <w:r w:rsidR="00EB0D90">
        <w:t xml:space="preserve">stakeholder input and field testing of the Standard that took place in 2015 and 2016. </w:t>
      </w:r>
    </w:p>
    <w:p w14:paraId="760E3C7D" w14:textId="1702DF78" w:rsidR="00822520" w:rsidRDefault="00FE1D03" w:rsidP="00822520">
      <w:r>
        <w:t xml:space="preserve">The IRMA Standard is comprehensive, covering 27 topic areas under the broad headings of Business Integrity, Social Responsibility, Environmental Responsibility, and Positive Legacies. Some of the </w:t>
      </w:r>
      <w:r>
        <w:lastRenderedPageBreak/>
        <w:t>environmental chapters, in particular, are fairly technical, and may require some focused auditor</w:t>
      </w:r>
      <w:r w:rsidR="00AF4FD3">
        <w:t xml:space="preserve"> (inspection body)</w:t>
      </w:r>
      <w:r>
        <w:t xml:space="preserve"> training</w:t>
      </w:r>
      <w:r w:rsidR="0068758B">
        <w:t xml:space="preserve"> and, at least initially, some fairly close </w:t>
      </w:r>
      <w:r w:rsidR="005A386D">
        <w:t>oversight.</w:t>
      </w:r>
    </w:p>
    <w:p w14:paraId="3AD3C413" w14:textId="5301B881" w:rsidR="00A3321B" w:rsidRDefault="00EB0D90" w:rsidP="00A3321B">
      <w:r>
        <w:t>IRMA expects to begin certifying mine sites in</w:t>
      </w:r>
      <w:r w:rsidR="00161AB5">
        <w:t xml:space="preserve"> the 3</w:t>
      </w:r>
      <w:r w:rsidR="00161AB5" w:rsidRPr="00161AB5">
        <w:rPr>
          <w:vertAlign w:val="superscript"/>
        </w:rPr>
        <w:t>rd</w:t>
      </w:r>
      <w:r w:rsidR="00161AB5">
        <w:t xml:space="preserve"> Quarter of</w:t>
      </w:r>
      <w:r>
        <w:t xml:space="preserve"> 2017. </w:t>
      </w:r>
      <w:r w:rsidR="005D28EA">
        <w:t xml:space="preserve">Rather than implementing a full </w:t>
      </w:r>
      <w:r w:rsidR="000B6486">
        <w:t>m</w:t>
      </w:r>
      <w:r w:rsidR="005D28EA">
        <w:t xml:space="preserve">odel 2.5 assurance system, IRMA is </w:t>
      </w:r>
      <w:r w:rsidR="000B6486">
        <w:t>contemplating</w:t>
      </w:r>
      <w:r w:rsidR="005D28EA">
        <w:t xml:space="preserve"> launching</w:t>
      </w:r>
      <w:r w:rsidR="000B6486">
        <w:t xml:space="preserve"> its certification system using</w:t>
      </w:r>
      <w:r w:rsidR="005D28EA">
        <w:t xml:space="preserve"> a</w:t>
      </w:r>
      <w:r w:rsidR="00161AB5">
        <w:t>n interim,</w:t>
      </w:r>
      <w:r w:rsidR="005D28EA">
        <w:t xml:space="preserve"> </w:t>
      </w:r>
      <w:r w:rsidR="00C31F2C">
        <w:t xml:space="preserve">scaled-back assurance system whereby IRMA would retain oversight </w:t>
      </w:r>
      <w:r w:rsidR="00A3321B">
        <w:t xml:space="preserve">of </w:t>
      </w:r>
      <w:r w:rsidR="00AF4FD3">
        <w:t>inspection</w:t>
      </w:r>
      <w:r w:rsidR="00A3321B">
        <w:t xml:space="preserve"> bodies, </w:t>
      </w:r>
      <w:r w:rsidR="00C31F2C">
        <w:t xml:space="preserve">and perhaps </w:t>
      </w:r>
      <w:r w:rsidR="00AF4FD3">
        <w:t xml:space="preserve">retain </w:t>
      </w:r>
      <w:r w:rsidR="00A3321B">
        <w:t>certificate review or decision-making authority</w:t>
      </w:r>
      <w:r w:rsidR="00C31F2C">
        <w:t>.</w:t>
      </w:r>
      <w:r w:rsidR="00A3321B">
        <w:t xml:space="preserve"> </w:t>
      </w:r>
      <w:r w:rsidR="000B6486">
        <w:t>A</w:t>
      </w:r>
      <w:r w:rsidR="00A3321B">
        <w:t xml:space="preserve"> scaled-back </w:t>
      </w:r>
      <w:r w:rsidR="000B6486">
        <w:t>assurance system</w:t>
      </w:r>
      <w:r w:rsidR="00A3321B">
        <w:t xml:space="preserve"> is </w:t>
      </w:r>
      <w:r w:rsidR="00AF4FD3">
        <w:t xml:space="preserve">being </w:t>
      </w:r>
      <w:r w:rsidR="00A3321B">
        <w:t xml:space="preserve">contemplated for a number of reasons: 1) to provide learning to inform whether or not IRMA eventually wants to adopt a full-blown </w:t>
      </w:r>
      <w:r w:rsidR="000B6486">
        <w:t>m</w:t>
      </w:r>
      <w:r w:rsidR="00A3321B">
        <w:t xml:space="preserve">odel </w:t>
      </w:r>
      <w:r w:rsidR="00AF4FD3">
        <w:t>2.5</w:t>
      </w:r>
      <w:r w:rsidR="00A3321B">
        <w:t xml:space="preserve"> assurance system; 2) </w:t>
      </w:r>
      <w:r w:rsidR="00161AB5">
        <w:t xml:space="preserve">it is anticipated that the design and implementation of a scaled-back </w:t>
      </w:r>
      <w:r w:rsidR="000B6486">
        <w:t>system may be</w:t>
      </w:r>
      <w:r w:rsidR="00161AB5">
        <w:t xml:space="preserve"> more realistic given the goal of launching </w:t>
      </w:r>
      <w:r w:rsidR="00AF4FD3">
        <w:t xml:space="preserve">IRMA’s </w:t>
      </w:r>
      <w:r w:rsidR="00161AB5">
        <w:t xml:space="preserve">certification </w:t>
      </w:r>
      <w:r w:rsidR="00AF4FD3">
        <w:t xml:space="preserve">system </w:t>
      </w:r>
      <w:r w:rsidR="00161AB5">
        <w:t>in the 3</w:t>
      </w:r>
      <w:r w:rsidR="00161AB5" w:rsidRPr="00161AB5">
        <w:rPr>
          <w:vertAlign w:val="superscript"/>
        </w:rPr>
        <w:t>rd</w:t>
      </w:r>
      <w:r w:rsidR="00161AB5">
        <w:t xml:space="preserve"> Quarter of 2017.</w:t>
      </w:r>
    </w:p>
    <w:p w14:paraId="1B338B83" w14:textId="1A0BFEB5" w:rsidR="00822520" w:rsidRPr="00956C55" w:rsidRDefault="00822520" w:rsidP="00822520">
      <w:pPr>
        <w:rPr>
          <w:i/>
        </w:rPr>
      </w:pPr>
      <w:r>
        <w:t>IRMA recognizes</w:t>
      </w:r>
      <w:r w:rsidR="000B6486">
        <w:t xml:space="preserve"> </w:t>
      </w:r>
      <w:r>
        <w:t xml:space="preserve">that for </w:t>
      </w:r>
      <w:r w:rsidR="00722A5C">
        <w:t xml:space="preserve">all of </w:t>
      </w:r>
      <w:r w:rsidR="007168DF">
        <w:t xml:space="preserve">its </w:t>
      </w:r>
      <w:r>
        <w:t>stakeholders</w:t>
      </w:r>
      <w:r w:rsidR="0068758B">
        <w:t xml:space="preserve"> its</w:t>
      </w:r>
      <w:r>
        <w:t xml:space="preserve"> </w:t>
      </w:r>
      <w:r w:rsidR="00C22291">
        <w:t xml:space="preserve">assurance </w:t>
      </w:r>
      <w:r>
        <w:t>program will be nearly, if not just, as important as the performance expectations described in the Standard itself. How a mine site is evaluated on the ground, the training and quality of the auditors, and the relationship between IRMA and its verification partners will be essential to assuring that IRMA’s mission is being implemented as intended.</w:t>
      </w:r>
      <w:r w:rsidR="007168DF">
        <w:t xml:space="preserve"> Consequently, </w:t>
      </w:r>
      <w:r w:rsidR="000B6486">
        <w:t xml:space="preserve">whatever </w:t>
      </w:r>
      <w:r w:rsidR="001A13A7">
        <w:t xml:space="preserve">assurance </w:t>
      </w:r>
      <w:r w:rsidR="000B6486">
        <w:t xml:space="preserve">model </w:t>
      </w:r>
      <w:r w:rsidR="007168DF">
        <w:t xml:space="preserve">IRMA </w:t>
      </w:r>
      <w:r w:rsidR="000B6486">
        <w:t>adopts</w:t>
      </w:r>
      <w:r w:rsidR="001A13A7">
        <w:t xml:space="preserve"> must be</w:t>
      </w:r>
      <w:r w:rsidR="007168DF">
        <w:t xml:space="preserve"> </w:t>
      </w:r>
      <w:r w:rsidR="00722A5C">
        <w:t>be</w:t>
      </w:r>
      <w:r w:rsidR="007168DF">
        <w:t xml:space="preserve"> credib</w:t>
      </w:r>
      <w:r w:rsidR="00722A5C">
        <w:t>le to its stakeholders</w:t>
      </w:r>
      <w:r w:rsidR="007168DF">
        <w:t>.</w:t>
      </w:r>
      <w:r>
        <w:t xml:space="preserve"> </w:t>
      </w:r>
    </w:p>
    <w:p w14:paraId="581C0FE2" w14:textId="760A44FD" w:rsidR="0085438C" w:rsidRDefault="0085438C">
      <w:pPr>
        <w:spacing w:before="240"/>
        <w:rPr>
          <w:rFonts w:ascii="Rockwell" w:eastAsiaTheme="majorEastAsia" w:hAnsi="Rockwell" w:cstheme="majorBidi"/>
          <w:bCs/>
          <w:color w:val="860908" w:themeColor="accent1"/>
          <w:sz w:val="24"/>
          <w:szCs w:val="24"/>
        </w:rPr>
      </w:pPr>
      <w:r>
        <w:rPr>
          <w:rFonts w:ascii="Rockwell" w:eastAsiaTheme="majorEastAsia" w:hAnsi="Rockwell" w:cstheme="majorBidi"/>
          <w:bCs/>
          <w:color w:val="860908" w:themeColor="accent1"/>
          <w:sz w:val="24"/>
          <w:szCs w:val="24"/>
        </w:rPr>
        <w:t>Scope of Work</w:t>
      </w:r>
    </w:p>
    <w:p w14:paraId="092902AE" w14:textId="59371628" w:rsidR="009D4044" w:rsidRDefault="00822520" w:rsidP="00822520">
      <w:r>
        <w:t>IRMA seeks the contr</w:t>
      </w:r>
      <w:r w:rsidR="006A5DD7">
        <w:t xml:space="preserve">act assistance of a consultant </w:t>
      </w:r>
      <w:r>
        <w:t xml:space="preserve">or </w:t>
      </w:r>
      <w:r w:rsidR="006A5DD7">
        <w:t>firm/organization</w:t>
      </w:r>
      <w:r>
        <w:t xml:space="preserve"> to assist the IRMA Secretariat in deve</w:t>
      </w:r>
      <w:r w:rsidR="006A5DD7">
        <w:t>loping</w:t>
      </w:r>
      <w:r w:rsidR="00722A5C">
        <w:t xml:space="preserve"> and implementing </w:t>
      </w:r>
      <w:r w:rsidR="00C31F2C">
        <w:t>a</w:t>
      </w:r>
      <w:r w:rsidR="009D4044">
        <w:t xml:space="preserve">n interim assurance system </w:t>
      </w:r>
      <w:r w:rsidR="00722A5C">
        <w:t>that will become operational in the 3</w:t>
      </w:r>
      <w:r w:rsidR="00722A5C" w:rsidRPr="00240EDF">
        <w:rPr>
          <w:vertAlign w:val="superscript"/>
        </w:rPr>
        <w:t>rd</w:t>
      </w:r>
      <w:r w:rsidR="00722A5C">
        <w:t xml:space="preserve"> Quarter of 2017.</w:t>
      </w:r>
      <w:r w:rsidR="009D4044">
        <w:t xml:space="preserve"> </w:t>
      </w:r>
    </w:p>
    <w:p w14:paraId="43473429" w14:textId="5E9426BC" w:rsidR="00416DEF" w:rsidRDefault="00822520" w:rsidP="00822520">
      <w:r>
        <w:t xml:space="preserve">A first step in this effort will be </w:t>
      </w:r>
      <w:r w:rsidR="009D4044">
        <w:t xml:space="preserve">preparing </w:t>
      </w:r>
      <w:r w:rsidR="0068758B">
        <w:t>from one to as many as</w:t>
      </w:r>
      <w:r w:rsidR="009D4044">
        <w:t xml:space="preserve"> three options for </w:t>
      </w:r>
      <w:r w:rsidR="006445FF">
        <w:t xml:space="preserve">an interim assurance system that </w:t>
      </w:r>
      <w:r w:rsidR="00722A5C">
        <w:t>the contractor determines c</w:t>
      </w:r>
      <w:r w:rsidR="006445FF">
        <w:t xml:space="preserve">ould be: </w:t>
      </w:r>
      <w:r w:rsidR="00722A5C">
        <w:t xml:space="preserve">1) </w:t>
      </w:r>
      <w:r w:rsidR="00416DEF">
        <w:t>implementable in the next six to eight months</w:t>
      </w:r>
      <w:r w:rsidR="00722A5C">
        <w:t>; 2)</w:t>
      </w:r>
      <w:r w:rsidR="00416DEF">
        <w:t xml:space="preserve"> credible to IRMA stakeholders</w:t>
      </w:r>
      <w:r w:rsidR="006445FF">
        <w:t xml:space="preserve">; and </w:t>
      </w:r>
      <w:r w:rsidR="00722A5C">
        <w:t xml:space="preserve">3) </w:t>
      </w:r>
      <w:r w:rsidR="006445FF">
        <w:t xml:space="preserve">compliant with the </w:t>
      </w:r>
      <w:hyperlink r:id="rId9" w:history="1">
        <w:r w:rsidR="006445FF" w:rsidRPr="0068758B">
          <w:rPr>
            <w:rStyle w:val="Hyperlink"/>
          </w:rPr>
          <w:t>ISEAL Assurance Code</w:t>
        </w:r>
      </w:hyperlink>
      <w:r w:rsidR="006445FF">
        <w:t xml:space="preserve">. These options will be </w:t>
      </w:r>
      <w:r w:rsidR="00416DEF">
        <w:t>present</w:t>
      </w:r>
      <w:r w:rsidR="006445FF">
        <w:t>ed</w:t>
      </w:r>
      <w:r w:rsidR="00416DEF">
        <w:t xml:space="preserve"> to the IRMA Steering Committee in New York in late February 2016.</w:t>
      </w:r>
      <w:r w:rsidR="00416DEF" w:rsidRPr="00416DEF">
        <w:t xml:space="preserve"> </w:t>
      </w:r>
    </w:p>
    <w:p w14:paraId="5AD34522" w14:textId="70BE1E19" w:rsidR="00822520" w:rsidRDefault="00822520" w:rsidP="00822520">
      <w:r>
        <w:t xml:space="preserve">Following a decision </w:t>
      </w:r>
      <w:r w:rsidR="0068758B">
        <w:t xml:space="preserve">by </w:t>
      </w:r>
      <w:r>
        <w:t xml:space="preserve">the IRMA Steering Committee on </w:t>
      </w:r>
      <w:r w:rsidR="0068758B">
        <w:t xml:space="preserve">an </w:t>
      </w:r>
      <w:r w:rsidR="00AA0813">
        <w:t xml:space="preserve">interim assurance </w:t>
      </w:r>
      <w:r>
        <w:t xml:space="preserve">model that best fits IRMA’s needs, the contractor will work </w:t>
      </w:r>
      <w:r w:rsidR="00416DEF">
        <w:t xml:space="preserve">with the IRMA Secretariat </w:t>
      </w:r>
      <w:r>
        <w:t>to develop</w:t>
      </w:r>
      <w:r w:rsidR="006777E8">
        <w:t xml:space="preserve"> and implement</w:t>
      </w:r>
      <w:r>
        <w:t xml:space="preserve"> the </w:t>
      </w:r>
      <w:r w:rsidR="00AA0813">
        <w:t xml:space="preserve">assurance </w:t>
      </w:r>
      <w:r>
        <w:t>program</w:t>
      </w:r>
      <w:r w:rsidR="00416DEF">
        <w:t>.</w:t>
      </w:r>
    </w:p>
    <w:p w14:paraId="202511D1" w14:textId="49295398" w:rsidR="006A5DD7" w:rsidRDefault="006A5DD7" w:rsidP="00822520">
      <w:r>
        <w:t>Contract work to include:</w:t>
      </w:r>
    </w:p>
    <w:p w14:paraId="23156850" w14:textId="1565CC67" w:rsidR="006A5DD7" w:rsidRDefault="00822520" w:rsidP="00C22291">
      <w:pPr>
        <w:pStyle w:val="ListParagraph"/>
        <w:numPr>
          <w:ilvl w:val="0"/>
          <w:numId w:val="7"/>
        </w:numPr>
        <w:spacing w:after="0"/>
      </w:pPr>
      <w:r>
        <w:t xml:space="preserve">A report to the IRMA </w:t>
      </w:r>
      <w:r w:rsidR="00C22291">
        <w:t xml:space="preserve">Secretariat </w:t>
      </w:r>
      <w:r w:rsidR="006A5DD7">
        <w:t xml:space="preserve">describing </w:t>
      </w:r>
      <w:proofErr w:type="spellStart"/>
      <w:r w:rsidR="00C22291">
        <w:t>recomended</w:t>
      </w:r>
      <w:proofErr w:type="spellEnd"/>
      <w:r w:rsidR="00C22291">
        <w:t xml:space="preserve"> option(s) </w:t>
      </w:r>
      <w:r w:rsidR="006A5DD7">
        <w:t>for IRMA</w:t>
      </w:r>
      <w:r w:rsidR="00C22291">
        <w:t>’ interim</w:t>
      </w:r>
      <w:r w:rsidR="006A5DD7">
        <w:t xml:space="preserve"> </w:t>
      </w:r>
      <w:r w:rsidR="00C22291">
        <w:t xml:space="preserve">assurance </w:t>
      </w:r>
      <w:r w:rsidR="006A5DD7">
        <w:t>program</w:t>
      </w:r>
    </w:p>
    <w:p w14:paraId="4A101495" w14:textId="564AC81A" w:rsidR="00B05A7C" w:rsidRDefault="00B05A7C" w:rsidP="00C22291">
      <w:pPr>
        <w:pStyle w:val="ListParagraph"/>
        <w:numPr>
          <w:ilvl w:val="0"/>
          <w:numId w:val="7"/>
        </w:numPr>
        <w:spacing w:after="0"/>
      </w:pPr>
      <w:r>
        <w:t xml:space="preserve">Presentation </w:t>
      </w:r>
      <w:r w:rsidR="00D34DF9">
        <w:t xml:space="preserve">of option(s) </w:t>
      </w:r>
      <w:r>
        <w:t>to the IRMA Steering Committee at a meeting in New York on 27/28 February 2017</w:t>
      </w:r>
    </w:p>
    <w:p w14:paraId="3293C2F6" w14:textId="5398A7B0" w:rsidR="00C22291" w:rsidRPr="00C22291" w:rsidRDefault="00C22291" w:rsidP="00240EDF">
      <w:pPr>
        <w:pStyle w:val="ListParagraph"/>
        <w:numPr>
          <w:ilvl w:val="0"/>
          <w:numId w:val="7"/>
        </w:numPr>
        <w:spacing w:after="0"/>
      </w:pPr>
      <w:r w:rsidRPr="00C22291">
        <w:t xml:space="preserve">A workplan with timeline and budget for the </w:t>
      </w:r>
      <w:r>
        <w:t xml:space="preserve">development and </w:t>
      </w:r>
      <w:r w:rsidRPr="00C22291">
        <w:t xml:space="preserve">implementation of IRMA’s </w:t>
      </w:r>
      <w:r>
        <w:t>assurance</w:t>
      </w:r>
      <w:r w:rsidRPr="00C22291">
        <w:t xml:space="preserve"> program</w:t>
      </w:r>
    </w:p>
    <w:p w14:paraId="356E3806" w14:textId="1474093C" w:rsidR="00B05A7C" w:rsidRDefault="00B05A7C" w:rsidP="00B05A7C">
      <w:pPr>
        <w:pStyle w:val="ListParagraph"/>
        <w:numPr>
          <w:ilvl w:val="0"/>
          <w:numId w:val="7"/>
        </w:numPr>
        <w:spacing w:after="0"/>
      </w:pPr>
      <w:r>
        <w:t xml:space="preserve">Working with </w:t>
      </w:r>
      <w:r w:rsidRPr="00C22291">
        <w:t xml:space="preserve">the IRMA </w:t>
      </w:r>
      <w:r>
        <w:t xml:space="preserve">Secretariat to </w:t>
      </w:r>
      <w:r w:rsidRPr="00C22291">
        <w:t xml:space="preserve">implement the first phases of the </w:t>
      </w:r>
      <w:proofErr w:type="gramStart"/>
      <w:r>
        <w:t xml:space="preserve">assurance </w:t>
      </w:r>
      <w:r w:rsidRPr="00C22291">
        <w:t xml:space="preserve"> program</w:t>
      </w:r>
      <w:proofErr w:type="gramEnd"/>
    </w:p>
    <w:p w14:paraId="303CFF04" w14:textId="77777777" w:rsidR="00822520" w:rsidRDefault="00822520" w:rsidP="00822520">
      <w:pPr>
        <w:spacing w:after="0"/>
        <w:rPr>
          <w:u w:val="single"/>
        </w:rPr>
      </w:pPr>
    </w:p>
    <w:p w14:paraId="6AA53965" w14:textId="435964B3" w:rsidR="00722A5C" w:rsidRDefault="00722A5C" w:rsidP="00822520">
      <w:pPr>
        <w:spacing w:after="0"/>
        <w:rPr>
          <w:u w:val="single"/>
        </w:rPr>
      </w:pPr>
      <w:r w:rsidRPr="00240EDF">
        <w:t>Outside of the scope of th</w:t>
      </w:r>
      <w:r w:rsidR="006777E8" w:rsidRPr="00240EDF">
        <w:t>is</w:t>
      </w:r>
      <w:r w:rsidRPr="00240EDF">
        <w:t xml:space="preserve"> contract, but a consideration for future scope of work would be </w:t>
      </w:r>
      <w:r w:rsidR="001A13A7" w:rsidRPr="00240EDF">
        <w:t xml:space="preserve">an </w:t>
      </w:r>
      <w:r w:rsidRPr="00240EDF">
        <w:t xml:space="preserve">evaluation of the effectiveness of the interim assurance program, and working with the IRMA Secretariat </w:t>
      </w:r>
      <w:r w:rsidR="001A13A7" w:rsidRPr="00240EDF">
        <w:t>and governance body to develop a</w:t>
      </w:r>
      <w:r w:rsidR="006777E8" w:rsidRPr="00240EDF">
        <w:t xml:space="preserve"> final assurance </w:t>
      </w:r>
      <w:r w:rsidR="00553575" w:rsidRPr="00240EDF">
        <w:t>model</w:t>
      </w:r>
      <w:r w:rsidR="006777E8" w:rsidRPr="00240EDF">
        <w:t xml:space="preserve"> based on the learning </w:t>
      </w:r>
      <w:r w:rsidR="00553575" w:rsidRPr="00240EDF">
        <w:t xml:space="preserve">from the interim assurance </w:t>
      </w:r>
      <w:proofErr w:type="spellStart"/>
      <w:r w:rsidR="00553575" w:rsidRPr="00240EDF">
        <w:t>sytem</w:t>
      </w:r>
      <w:proofErr w:type="spellEnd"/>
      <w:r w:rsidR="006777E8" w:rsidRPr="00240EDF">
        <w:t>.</w:t>
      </w:r>
    </w:p>
    <w:p w14:paraId="13BE1539" w14:textId="1625D914" w:rsidR="00822520" w:rsidRPr="00822520" w:rsidRDefault="00822520" w:rsidP="00240EDF">
      <w:pPr>
        <w:spacing w:before="240"/>
        <w:rPr>
          <w:rFonts w:ascii="Rockwell" w:hAnsi="Rockwell"/>
          <w:color w:val="800000"/>
          <w:sz w:val="24"/>
          <w:szCs w:val="24"/>
        </w:rPr>
      </w:pPr>
      <w:r>
        <w:rPr>
          <w:rFonts w:ascii="Rockwell" w:hAnsi="Rockwell"/>
          <w:color w:val="800000"/>
          <w:sz w:val="24"/>
          <w:szCs w:val="24"/>
        </w:rPr>
        <w:t>Timing</w:t>
      </w:r>
    </w:p>
    <w:p w14:paraId="77543979" w14:textId="77777777" w:rsidR="006777E8" w:rsidRDefault="006777E8" w:rsidP="006A5DD7">
      <w:pPr>
        <w:pStyle w:val="ListParagraph"/>
        <w:numPr>
          <w:ilvl w:val="0"/>
          <w:numId w:val="0"/>
        </w:numPr>
      </w:pPr>
      <w:r>
        <w:t>Contractor to develop option(s) for an interim assurance system by 10 February, to be reviewed by Secretariat the following week, and presented to the IRMA Steering Committee on the 27 or 28 of February in New York.</w:t>
      </w:r>
    </w:p>
    <w:p w14:paraId="592872D5" w14:textId="77777777" w:rsidR="000A052C" w:rsidRDefault="000A052C" w:rsidP="006A5DD7">
      <w:pPr>
        <w:pStyle w:val="ListParagraph"/>
        <w:numPr>
          <w:ilvl w:val="0"/>
          <w:numId w:val="0"/>
        </w:numPr>
      </w:pPr>
    </w:p>
    <w:p w14:paraId="7FCA40AC" w14:textId="5959C9E4" w:rsidR="000A052C" w:rsidRDefault="000A052C" w:rsidP="006A5DD7">
      <w:pPr>
        <w:pStyle w:val="ListParagraph"/>
        <w:numPr>
          <w:ilvl w:val="0"/>
          <w:numId w:val="0"/>
        </w:numPr>
      </w:pPr>
      <w:r>
        <w:lastRenderedPageBreak/>
        <w:t xml:space="preserve">Development </w:t>
      </w:r>
      <w:r w:rsidR="00AA0813">
        <w:t xml:space="preserve">and implementation </w:t>
      </w:r>
      <w:r>
        <w:t xml:space="preserve">of the assurance system option approved by the IRMA Steering Committee will take place from 1 March to approximately 1 </w:t>
      </w:r>
      <w:r w:rsidR="00AA0813">
        <w:t>September</w:t>
      </w:r>
      <w:r w:rsidR="00B05A7C">
        <w:t xml:space="preserve">, when it is anticipated that the IRMA </w:t>
      </w:r>
      <w:r w:rsidR="003016A3">
        <w:t>c</w:t>
      </w:r>
      <w:r w:rsidR="00B05A7C">
        <w:t xml:space="preserve">ertification </w:t>
      </w:r>
      <w:r w:rsidR="003016A3">
        <w:t>s</w:t>
      </w:r>
      <w:r w:rsidR="00B05A7C">
        <w:t>ystem will be launched</w:t>
      </w:r>
      <w:r w:rsidR="00AA0813">
        <w:t xml:space="preserve">. </w:t>
      </w:r>
      <w:r>
        <w:t xml:space="preserve">  </w:t>
      </w:r>
    </w:p>
    <w:p w14:paraId="3A9D98E9" w14:textId="77777777" w:rsidR="00AA0813" w:rsidRDefault="00AA0813" w:rsidP="006A5DD7">
      <w:pPr>
        <w:pStyle w:val="ListParagraph"/>
        <w:numPr>
          <w:ilvl w:val="0"/>
          <w:numId w:val="0"/>
        </w:numPr>
      </w:pPr>
    </w:p>
    <w:p w14:paraId="4AFFFF7B" w14:textId="62F837C6" w:rsidR="00AA0813" w:rsidRDefault="00AA0813" w:rsidP="006A5DD7">
      <w:pPr>
        <w:pStyle w:val="ListParagraph"/>
        <w:numPr>
          <w:ilvl w:val="0"/>
          <w:numId w:val="0"/>
        </w:numPr>
      </w:pPr>
      <w:r>
        <w:t>Assuming that there will be parts of the implementation phase that may involve the contract</w:t>
      </w:r>
      <w:r w:rsidR="00B05A7C">
        <w:t>or</w:t>
      </w:r>
      <w:r>
        <w:t xml:space="preserve"> beyond the actual launch of the IRMA </w:t>
      </w:r>
      <w:r w:rsidR="003016A3">
        <w:t>c</w:t>
      </w:r>
      <w:r>
        <w:t xml:space="preserve">ertification </w:t>
      </w:r>
      <w:r w:rsidR="003016A3">
        <w:t>s</w:t>
      </w:r>
      <w:r>
        <w:t>ystem, contract assistance may extend through 2017, and into 2018, as agreed by IRMA and the contractor.</w:t>
      </w:r>
    </w:p>
    <w:p w14:paraId="2CF22940" w14:textId="06A858A7" w:rsidR="006777E8" w:rsidRDefault="006777E8" w:rsidP="006A5DD7">
      <w:pPr>
        <w:pStyle w:val="ListParagraph"/>
        <w:numPr>
          <w:ilvl w:val="0"/>
          <w:numId w:val="0"/>
        </w:numPr>
      </w:pPr>
    </w:p>
    <w:p w14:paraId="2348AF5D" w14:textId="479AE3F9" w:rsidR="00822520" w:rsidRPr="00822520" w:rsidRDefault="00822520" w:rsidP="00822520">
      <w:pPr>
        <w:pStyle w:val="ListParagraph"/>
        <w:numPr>
          <w:ilvl w:val="0"/>
          <w:numId w:val="0"/>
        </w:numPr>
        <w:rPr>
          <w:rFonts w:ascii="Rockwell" w:hAnsi="Rockwell"/>
          <w:color w:val="800000"/>
          <w:sz w:val="24"/>
          <w:szCs w:val="24"/>
        </w:rPr>
      </w:pPr>
      <w:r w:rsidRPr="00822520">
        <w:rPr>
          <w:rFonts w:ascii="Rockwell" w:hAnsi="Rockwell"/>
          <w:color w:val="800000"/>
          <w:sz w:val="24"/>
          <w:szCs w:val="24"/>
        </w:rPr>
        <w:t>Point of Contact</w:t>
      </w:r>
    </w:p>
    <w:p w14:paraId="367C4B04" w14:textId="385F5882" w:rsidR="00822520" w:rsidRDefault="00822520" w:rsidP="00822520">
      <w:pPr>
        <w:pStyle w:val="ListParagraph"/>
        <w:numPr>
          <w:ilvl w:val="0"/>
          <w:numId w:val="0"/>
        </w:numPr>
      </w:pPr>
      <w:r>
        <w:t>In providing this contract assistance, consultant will use IRMA Coordinator Aimee Boulanger as lead point of contact and support</w:t>
      </w:r>
      <w:r w:rsidR="000A052C">
        <w:t xml:space="preserve">: </w:t>
      </w:r>
      <w:hyperlink r:id="rId10" w:history="1">
        <w:r w:rsidR="000A052C" w:rsidRPr="00C552AD">
          <w:rPr>
            <w:rStyle w:val="Hyperlink"/>
          </w:rPr>
          <w:t>aboulanger@responsiblemining.net</w:t>
        </w:r>
      </w:hyperlink>
      <w:r w:rsidR="0004238D">
        <w:t>.</w:t>
      </w:r>
    </w:p>
    <w:p w14:paraId="571EC145" w14:textId="77777777" w:rsidR="0085438C" w:rsidRDefault="0085438C" w:rsidP="0085438C"/>
    <w:p w14:paraId="070BE85A" w14:textId="77777777" w:rsidR="0085438C" w:rsidRDefault="0085438C" w:rsidP="0085438C"/>
    <w:p w14:paraId="19552465" w14:textId="77777777" w:rsidR="00DF4D6A" w:rsidRPr="0099192D" w:rsidRDefault="00DF4D6A" w:rsidP="00B8662A"/>
    <w:sectPr w:rsidR="00DF4D6A" w:rsidRPr="0099192D" w:rsidSect="00407A93">
      <w:headerReference w:type="default" r:id="rId11"/>
      <w:footerReference w:type="default" r:id="rId12"/>
      <w:headerReference w:type="first" r:id="rId13"/>
      <w:footerReference w:type="first" r:id="rId14"/>
      <w:pgSz w:w="11900" w:h="16840"/>
      <w:pgMar w:top="1985" w:right="1134" w:bottom="1701" w:left="2835"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48F151" w14:textId="77777777" w:rsidR="00CF3426" w:rsidRDefault="00CF3426" w:rsidP="0058464F">
      <w:r>
        <w:separator/>
      </w:r>
    </w:p>
  </w:endnote>
  <w:endnote w:type="continuationSeparator" w:id="0">
    <w:p w14:paraId="2839F174" w14:textId="77777777" w:rsidR="00CF3426" w:rsidRDefault="00CF3426" w:rsidP="00584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Franklin Gothic Book">
    <w:panose1 w:val="020B0503020102020204"/>
    <w:charset w:val="00"/>
    <w:family w:val="swiss"/>
    <w:pitch w:val="variable"/>
    <w:sig w:usb0="00000287" w:usb1="00000000" w:usb2="00000000" w:usb3="00000000" w:csb0="0000009F" w:csb1="00000000"/>
  </w:font>
  <w:font w:name="Avenir Heavy">
    <w:charset w:val="00"/>
    <w:family w:val="auto"/>
    <w:pitch w:val="variable"/>
    <w:sig w:usb0="800000AF" w:usb1="5000204A" w:usb2="00000000" w:usb3="00000000" w:csb0="0000009B" w:csb1="00000000"/>
  </w:font>
  <w:font w:name="Joanna MT Std">
    <w:altName w:val="Calibri"/>
    <w:charset w:val="00"/>
    <w:family w:val="auto"/>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8D0F8" w14:textId="77777777" w:rsidR="000B6486" w:rsidRPr="00B870D7" w:rsidRDefault="000B6486" w:rsidP="00A77FB9">
    <w:pPr>
      <w:pStyle w:val="Footer"/>
      <w:tabs>
        <w:tab w:val="clear" w:pos="8640"/>
        <w:tab w:val="left" w:pos="2480"/>
        <w:tab w:val="right" w:pos="7938"/>
      </w:tabs>
      <w:rPr>
        <w:rFonts w:ascii="Rockwell" w:hAnsi="Rockwell"/>
        <w:color w:val="FFFFFF" w:themeColor="background1"/>
        <w:szCs w:val="20"/>
      </w:rPr>
    </w:pPr>
    <w:r w:rsidRPr="00A77FB9">
      <w:rPr>
        <w:rFonts w:ascii="Joanna MT Std" w:hAnsi="Joanna MT Std"/>
        <w:noProof/>
        <w:color w:val="FFFFFF" w:themeColor="background1"/>
        <w:lang w:eastAsia="en-US"/>
      </w:rPr>
      <w:drawing>
        <wp:anchor distT="0" distB="0" distL="114300" distR="114300" simplePos="0" relativeHeight="251665408" behindDoc="1" locked="0" layoutInCell="1" allowOverlap="1" wp14:anchorId="75FCBB31" wp14:editId="7BA6346B">
          <wp:simplePos x="0" y="0"/>
          <wp:positionH relativeFrom="page">
            <wp:posOffset>0</wp:posOffset>
          </wp:positionH>
          <wp:positionV relativeFrom="page">
            <wp:align>bottom</wp:align>
          </wp:positionV>
          <wp:extent cx="7595235" cy="10242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5235" cy="1024255"/>
                  </a:xfrm>
                  <a:prstGeom prst="rect">
                    <a:avLst/>
                  </a:prstGeom>
                  <a:noFill/>
                  <a:ln>
                    <a:noFill/>
                  </a:ln>
                </pic:spPr>
              </pic:pic>
            </a:graphicData>
          </a:graphic>
        </wp:anchor>
      </w:drawing>
    </w:r>
    <w:r w:rsidRPr="00A77FB9">
      <w:rPr>
        <w:rStyle w:val="PageNumber"/>
        <w:rFonts w:ascii="Joanna MT Std" w:hAnsi="Joanna MT Std"/>
        <w:color w:val="FFFFFF" w:themeColor="background1"/>
      </w:rPr>
      <w:tab/>
    </w:r>
    <w:r w:rsidRPr="00A77FB9">
      <w:rPr>
        <w:rStyle w:val="PageNumber"/>
        <w:rFonts w:ascii="Joanna MT Std" w:hAnsi="Joanna MT Std"/>
        <w:color w:val="FFFFFF" w:themeColor="background1"/>
      </w:rPr>
      <w:tab/>
    </w:r>
    <w:r w:rsidRPr="00A77FB9">
      <w:rPr>
        <w:rStyle w:val="PageNumber"/>
        <w:rFonts w:ascii="Joanna MT Std" w:hAnsi="Joanna MT Std"/>
        <w:color w:val="FFFFFF" w:themeColor="background1"/>
      </w:rPr>
      <w:tab/>
    </w:r>
    <w:r w:rsidRPr="00B870D7">
      <w:rPr>
        <w:rStyle w:val="PageNumber"/>
        <w:rFonts w:ascii="Rockwell" w:hAnsi="Rockwell"/>
        <w:color w:val="FFFFFF" w:themeColor="background1"/>
        <w:szCs w:val="20"/>
      </w:rPr>
      <w:fldChar w:fldCharType="begin"/>
    </w:r>
    <w:r w:rsidRPr="00B870D7">
      <w:rPr>
        <w:rStyle w:val="PageNumber"/>
        <w:rFonts w:ascii="Rockwell" w:hAnsi="Rockwell"/>
        <w:color w:val="FFFFFF" w:themeColor="background1"/>
        <w:szCs w:val="20"/>
      </w:rPr>
      <w:instrText xml:space="preserve"> PAGE </w:instrText>
    </w:r>
    <w:r w:rsidRPr="00B870D7">
      <w:rPr>
        <w:rStyle w:val="PageNumber"/>
        <w:rFonts w:ascii="Rockwell" w:hAnsi="Rockwell"/>
        <w:color w:val="FFFFFF" w:themeColor="background1"/>
        <w:szCs w:val="20"/>
      </w:rPr>
      <w:fldChar w:fldCharType="separate"/>
    </w:r>
    <w:r w:rsidR="008D260A">
      <w:rPr>
        <w:rStyle w:val="PageNumber"/>
        <w:rFonts w:ascii="Rockwell" w:hAnsi="Rockwell"/>
        <w:noProof/>
        <w:color w:val="FFFFFF" w:themeColor="background1"/>
        <w:szCs w:val="20"/>
      </w:rPr>
      <w:t>2</w:t>
    </w:r>
    <w:r w:rsidRPr="00B870D7">
      <w:rPr>
        <w:rStyle w:val="PageNumber"/>
        <w:rFonts w:ascii="Rockwell" w:hAnsi="Rockwell"/>
        <w:color w:val="FFFFFF" w:themeColor="background1"/>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B58E4" w14:textId="77777777" w:rsidR="000B6486" w:rsidRPr="000B70D9" w:rsidRDefault="000B6486" w:rsidP="000B70D9">
    <w:pPr>
      <w:pStyle w:val="Footer"/>
      <w:tabs>
        <w:tab w:val="clear" w:pos="8640"/>
        <w:tab w:val="right" w:pos="7230"/>
      </w:tabs>
      <w:jc w:val="right"/>
      <w:rPr>
        <w:color w:val="FFFFFF" w:themeColor="background1"/>
      </w:rPr>
    </w:pPr>
    <w:r w:rsidRPr="0006475F">
      <w:rPr>
        <w:noProof/>
        <w:color w:val="FFFFFF" w:themeColor="background1"/>
        <w:lang w:eastAsia="en-US"/>
      </w:rPr>
      <w:drawing>
        <wp:anchor distT="0" distB="0" distL="114300" distR="114300" simplePos="0" relativeHeight="251668480" behindDoc="0" locked="0" layoutInCell="1" allowOverlap="1" wp14:anchorId="7613FE18" wp14:editId="7807C418">
          <wp:simplePos x="0" y="0"/>
          <wp:positionH relativeFrom="margin">
            <wp:posOffset>4448810</wp:posOffset>
          </wp:positionH>
          <wp:positionV relativeFrom="margin">
            <wp:posOffset>7771765</wp:posOffset>
          </wp:positionV>
          <wp:extent cx="1003300" cy="1066800"/>
          <wp:effectExtent l="0" t="0" r="12700" b="0"/>
          <wp:wrapTight wrapText="bothSides">
            <wp:wrapPolygon edited="0">
              <wp:start x="20233" y="0"/>
              <wp:lineTo x="14765" y="8229"/>
              <wp:lineTo x="0" y="9771"/>
              <wp:lineTo x="0" y="10800"/>
              <wp:lineTo x="5468" y="16457"/>
              <wp:lineTo x="8203" y="21086"/>
              <wp:lineTo x="8749" y="21086"/>
              <wp:lineTo x="12030" y="21086"/>
              <wp:lineTo x="12577" y="21086"/>
              <wp:lineTo x="18592" y="8229"/>
              <wp:lineTo x="21327" y="1029"/>
              <wp:lineTo x="21327" y="0"/>
              <wp:lineTo x="20233" y="0"/>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3300" cy="1066800"/>
                  </a:xfrm>
                  <a:prstGeom prst="rect">
                    <a:avLst/>
                  </a:prstGeom>
                  <a:noFill/>
                  <a:ln>
                    <a:noFill/>
                  </a:ln>
                </pic:spPr>
              </pic:pic>
            </a:graphicData>
          </a:graphic>
        </wp:anchor>
      </w:drawing>
    </w:r>
    <w:r w:rsidRPr="0006475F">
      <w:rPr>
        <w:color w:val="FFFFFF" w:themeColor="background1"/>
      </w:rPr>
      <w:t xml:space="preserve"> </w:t>
    </w:r>
    <w:r w:rsidRPr="0006475F">
      <w:rPr>
        <w:noProof/>
        <w:color w:val="FFFFFF" w:themeColor="background1"/>
        <w:lang w:eastAsia="en-US"/>
      </w:rPr>
      <w:drawing>
        <wp:anchor distT="0" distB="0" distL="114300" distR="114300" simplePos="0" relativeHeight="251667456" behindDoc="1" locked="0" layoutInCell="1" allowOverlap="1" wp14:anchorId="5CFAC3C7" wp14:editId="1B359B43">
          <wp:simplePos x="0" y="0"/>
          <wp:positionH relativeFrom="page">
            <wp:align>left</wp:align>
          </wp:positionH>
          <wp:positionV relativeFrom="page">
            <wp:align>bottom</wp:align>
          </wp:positionV>
          <wp:extent cx="7595235" cy="102425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95235" cy="1024255"/>
                  </a:xfrm>
                  <a:prstGeom prst="rect">
                    <a:avLst/>
                  </a:prstGeom>
                  <a:noFill/>
                  <a:ln>
                    <a:noFill/>
                  </a:ln>
                </pic:spPr>
              </pic:pic>
            </a:graphicData>
          </a:graphic>
        </wp:anchor>
      </w:drawing>
    </w:r>
    <w:r w:rsidRPr="0006475F">
      <w:rPr>
        <w:color w:val="FFFFFF" w:themeColor="background1"/>
      </w:rPr>
      <w:tab/>
    </w:r>
    <w:r w:rsidRPr="0006475F">
      <w:rPr>
        <w:color w:val="FFFFFF" w:themeColor="background1"/>
      </w:rPr>
      <w:tab/>
      <w:t>www.responsiblemining.net</w:t>
    </w:r>
    <w:r w:rsidRPr="0006475F">
      <w:rPr>
        <w:color w:val="FFFFFF" w:themeColor="background1"/>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D0F491" w14:textId="77777777" w:rsidR="00CF3426" w:rsidRDefault="00CF3426" w:rsidP="0058464F">
      <w:r>
        <w:separator/>
      </w:r>
    </w:p>
  </w:footnote>
  <w:footnote w:type="continuationSeparator" w:id="0">
    <w:p w14:paraId="4896F4BB" w14:textId="77777777" w:rsidR="00CF3426" w:rsidRDefault="00CF3426" w:rsidP="005846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1C19D" w14:textId="77777777" w:rsidR="000B6486" w:rsidRDefault="000B6486" w:rsidP="000149AE">
    <w:pPr>
      <w:pStyle w:val="Header"/>
      <w:jc w:val="right"/>
    </w:pPr>
    <w:r>
      <w:rPr>
        <w:noProof/>
        <w:lang w:eastAsia="en-US"/>
      </w:rPr>
      <w:drawing>
        <wp:anchor distT="0" distB="0" distL="114300" distR="114300" simplePos="0" relativeHeight="251663360" behindDoc="0" locked="1" layoutInCell="1" allowOverlap="1" wp14:anchorId="6D01ABD2" wp14:editId="74297865">
          <wp:simplePos x="0" y="0"/>
          <wp:positionH relativeFrom="page">
            <wp:posOffset>165735</wp:posOffset>
          </wp:positionH>
          <wp:positionV relativeFrom="page">
            <wp:posOffset>-226060</wp:posOffset>
          </wp:positionV>
          <wp:extent cx="1439545" cy="1967865"/>
          <wp:effectExtent l="0" t="0" r="825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png"/>
                  <pic:cNvPicPr/>
                </pic:nvPicPr>
                <pic:blipFill>
                  <a:blip r:embed="rId1">
                    <a:extLst>
                      <a:ext uri="{28A0092B-C50C-407E-A947-70E740481C1C}">
                        <a14:useLocalDpi xmlns:a14="http://schemas.microsoft.com/office/drawing/2010/main"/>
                      </a:ext>
                    </a:extLst>
                  </a:blip>
                  <a:stretch>
                    <a:fillRect/>
                  </a:stretch>
                </pic:blipFill>
                <pic:spPr>
                  <a:xfrm>
                    <a:off x="0" y="0"/>
                    <a:ext cx="1439545" cy="1967865"/>
                  </a:xfrm>
                  <a:prstGeom prst="rect">
                    <a:avLst/>
                  </a:prstGeom>
                </pic:spPr>
              </pic:pic>
            </a:graphicData>
          </a:graphic>
        </wp:anchor>
      </w:drawing>
    </w:r>
  </w:p>
  <w:p w14:paraId="142D61A1" w14:textId="77777777" w:rsidR="000B6486" w:rsidRPr="000149AE" w:rsidRDefault="000B6486" w:rsidP="000149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0F4BD" w14:textId="77777777" w:rsidR="000B6486" w:rsidRPr="00240EDF" w:rsidRDefault="000B6486" w:rsidP="008B3AD7">
    <w:pPr>
      <w:spacing w:before="240" w:after="240"/>
      <w:rPr>
        <w:rFonts w:ascii="Rockwell" w:hAnsi="Rockwell"/>
        <w:color w:val="595959" w:themeColor="text1" w:themeTint="A6"/>
        <w:sz w:val="32"/>
        <w:szCs w:val="32"/>
      </w:rPr>
    </w:pPr>
    <w:r w:rsidRPr="00240EDF">
      <w:rPr>
        <w:rFonts w:ascii="Rockwell" w:eastAsiaTheme="majorEastAsia" w:hAnsi="Rockwell" w:cstheme="majorBidi"/>
        <w:bCs/>
        <w:color w:val="595959" w:themeColor="text1" w:themeTint="A6"/>
        <w:sz w:val="32"/>
        <w:szCs w:val="32"/>
      </w:rPr>
      <w:t xml:space="preserve">Terms of Reference for </w:t>
    </w:r>
    <w:r w:rsidRPr="00240EDF">
      <w:rPr>
        <w:rFonts w:ascii="Rockwell" w:hAnsi="Rockwell"/>
        <w:color w:val="595959" w:themeColor="text1" w:themeTint="A6"/>
        <w:sz w:val="32"/>
        <w:szCs w:val="32"/>
      </w:rPr>
      <w:t xml:space="preserve">Consulting Assistance to Develop and Implement IRMA’s Assurance Program </w:t>
    </w:r>
    <w:r w:rsidRPr="00240EDF">
      <w:rPr>
        <w:rFonts w:ascii="Rockwell" w:eastAsiaTheme="majorEastAsia" w:hAnsi="Rockwell" w:cstheme="majorBidi"/>
        <w:bCs/>
        <w:color w:val="595959" w:themeColor="text1" w:themeTint="A6"/>
        <w:sz w:val="32"/>
        <w:szCs w:val="32"/>
      </w:rPr>
      <w:t>(Dec. 2016)</w:t>
    </w:r>
  </w:p>
  <w:p w14:paraId="50400876" w14:textId="77777777" w:rsidR="000B6486" w:rsidRDefault="000B6486" w:rsidP="000B5C67">
    <w:pPr>
      <w:pStyle w:val="Header"/>
      <w:jc w:val="right"/>
    </w:pPr>
    <w:r>
      <w:rPr>
        <w:noProof/>
        <w:lang w:eastAsia="en-US"/>
      </w:rPr>
      <w:drawing>
        <wp:anchor distT="0" distB="0" distL="114300" distR="114300" simplePos="0" relativeHeight="251660288" behindDoc="0" locked="1" layoutInCell="1" allowOverlap="1" wp14:anchorId="3235E32F" wp14:editId="585954B8">
          <wp:simplePos x="0" y="0"/>
          <wp:positionH relativeFrom="page">
            <wp:posOffset>165735</wp:posOffset>
          </wp:positionH>
          <wp:positionV relativeFrom="page">
            <wp:posOffset>-226060</wp:posOffset>
          </wp:positionV>
          <wp:extent cx="1439545" cy="1967865"/>
          <wp:effectExtent l="0" t="0" r="825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png"/>
                  <pic:cNvPicPr/>
                </pic:nvPicPr>
                <pic:blipFill>
                  <a:blip r:embed="rId1">
                    <a:extLst>
                      <a:ext uri="{28A0092B-C50C-407E-A947-70E740481C1C}">
                        <a14:useLocalDpi xmlns:a14="http://schemas.microsoft.com/office/drawing/2010/main"/>
                      </a:ext>
                    </a:extLst>
                  </a:blip>
                  <a:stretch>
                    <a:fillRect/>
                  </a:stretch>
                </pic:blipFill>
                <pic:spPr>
                  <a:xfrm>
                    <a:off x="0" y="0"/>
                    <a:ext cx="1439545" cy="196786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A701C3"/>
    <w:multiLevelType w:val="hybridMultilevel"/>
    <w:tmpl w:val="803E4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6B440F"/>
    <w:multiLevelType w:val="hybridMultilevel"/>
    <w:tmpl w:val="830CD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4A6811"/>
    <w:multiLevelType w:val="hybridMultilevel"/>
    <w:tmpl w:val="4232E1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9C39F3"/>
    <w:multiLevelType w:val="hybridMultilevel"/>
    <w:tmpl w:val="3FD8CC6A"/>
    <w:lvl w:ilvl="0" w:tplc="7F5688E0">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9E27B9F"/>
    <w:multiLevelType w:val="hybridMultilevel"/>
    <w:tmpl w:val="9410D5E2"/>
    <w:lvl w:ilvl="0" w:tplc="6F800632">
      <w:start w:val="1"/>
      <w:numFmt w:val="decimal"/>
      <w:lvlText w:val="%1."/>
      <w:lvlJc w:val="left"/>
      <w:pPr>
        <w:ind w:left="720" w:hanging="72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4317FEB"/>
    <w:multiLevelType w:val="hybridMultilevel"/>
    <w:tmpl w:val="39B08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DF75FE0"/>
    <w:multiLevelType w:val="hybridMultilevel"/>
    <w:tmpl w:val="C748B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3"/>
  </w:num>
  <w:num w:numId="4">
    <w:abstractNumId w:val="4"/>
  </w:num>
  <w:num w:numId="5">
    <w:abstractNumId w:val="0"/>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grammar="clean"/>
  <w:trackRevision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157"/>
    <w:rsid w:val="000149AE"/>
    <w:rsid w:val="0004238D"/>
    <w:rsid w:val="0005465D"/>
    <w:rsid w:val="000565E9"/>
    <w:rsid w:val="00066EC4"/>
    <w:rsid w:val="000877AB"/>
    <w:rsid w:val="00090500"/>
    <w:rsid w:val="000A052C"/>
    <w:rsid w:val="000B5C67"/>
    <w:rsid w:val="000B6486"/>
    <w:rsid w:val="000B70D9"/>
    <w:rsid w:val="001406D2"/>
    <w:rsid w:val="00161AB5"/>
    <w:rsid w:val="001A13A7"/>
    <w:rsid w:val="001A5321"/>
    <w:rsid w:val="001F4B00"/>
    <w:rsid w:val="00240EDF"/>
    <w:rsid w:val="002454ED"/>
    <w:rsid w:val="002974CD"/>
    <w:rsid w:val="003016A3"/>
    <w:rsid w:val="00334021"/>
    <w:rsid w:val="003746F6"/>
    <w:rsid w:val="003A039E"/>
    <w:rsid w:val="003A2D82"/>
    <w:rsid w:val="003C0FB6"/>
    <w:rsid w:val="003E59C2"/>
    <w:rsid w:val="00407A93"/>
    <w:rsid w:val="00416DEF"/>
    <w:rsid w:val="00480F45"/>
    <w:rsid w:val="004839FA"/>
    <w:rsid w:val="004C17B7"/>
    <w:rsid w:val="004E04D2"/>
    <w:rsid w:val="004F4B12"/>
    <w:rsid w:val="00505A8B"/>
    <w:rsid w:val="00553575"/>
    <w:rsid w:val="0058464F"/>
    <w:rsid w:val="00594106"/>
    <w:rsid w:val="005A386D"/>
    <w:rsid w:val="005B388F"/>
    <w:rsid w:val="005D28EA"/>
    <w:rsid w:val="005E0B6F"/>
    <w:rsid w:val="00621E3B"/>
    <w:rsid w:val="006445FF"/>
    <w:rsid w:val="006777E8"/>
    <w:rsid w:val="006822C8"/>
    <w:rsid w:val="0068758B"/>
    <w:rsid w:val="006A5DD7"/>
    <w:rsid w:val="006C4E22"/>
    <w:rsid w:val="006D19D1"/>
    <w:rsid w:val="006D496D"/>
    <w:rsid w:val="007168DF"/>
    <w:rsid w:val="00722A5C"/>
    <w:rsid w:val="00756ED6"/>
    <w:rsid w:val="00822520"/>
    <w:rsid w:val="008305E8"/>
    <w:rsid w:val="0085438C"/>
    <w:rsid w:val="00855AF0"/>
    <w:rsid w:val="008B3AD7"/>
    <w:rsid w:val="008D260A"/>
    <w:rsid w:val="00930C1F"/>
    <w:rsid w:val="00940A00"/>
    <w:rsid w:val="00973535"/>
    <w:rsid w:val="00975E06"/>
    <w:rsid w:val="0099192D"/>
    <w:rsid w:val="009D4044"/>
    <w:rsid w:val="009F1789"/>
    <w:rsid w:val="00A3321B"/>
    <w:rsid w:val="00A72872"/>
    <w:rsid w:val="00A73C4C"/>
    <w:rsid w:val="00A77FB9"/>
    <w:rsid w:val="00A97C75"/>
    <w:rsid w:val="00AA0813"/>
    <w:rsid w:val="00AF4FD3"/>
    <w:rsid w:val="00AF5A00"/>
    <w:rsid w:val="00B05A7C"/>
    <w:rsid w:val="00B621C0"/>
    <w:rsid w:val="00B8662A"/>
    <w:rsid w:val="00B870D7"/>
    <w:rsid w:val="00C22291"/>
    <w:rsid w:val="00C31F2C"/>
    <w:rsid w:val="00C32DA5"/>
    <w:rsid w:val="00C52E7A"/>
    <w:rsid w:val="00C54320"/>
    <w:rsid w:val="00CB7788"/>
    <w:rsid w:val="00CF3426"/>
    <w:rsid w:val="00D22389"/>
    <w:rsid w:val="00D318A0"/>
    <w:rsid w:val="00D34DF9"/>
    <w:rsid w:val="00D97F9E"/>
    <w:rsid w:val="00DB5763"/>
    <w:rsid w:val="00DF3FE2"/>
    <w:rsid w:val="00DF4D6A"/>
    <w:rsid w:val="00E051BF"/>
    <w:rsid w:val="00EB0D90"/>
    <w:rsid w:val="00EB6157"/>
    <w:rsid w:val="00EE717A"/>
    <w:rsid w:val="00F27E29"/>
    <w:rsid w:val="00F4614E"/>
    <w:rsid w:val="00FD4FFC"/>
    <w:rsid w:val="00FE1D03"/>
    <w:rsid w:val="00FF0FD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A58D024"/>
  <w15:docId w15:val="{3F77DF9B-FD5E-4F6D-B560-29D21AF9D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ja-JP" w:bidi="ar-SA"/>
      </w:rPr>
    </w:rPrDefault>
    <w:pPrDefault>
      <w:pPr>
        <w:spacing w:after="200" w:line="276" w:lineRule="auto"/>
      </w:pPr>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A039E"/>
    <w:pPr>
      <w:spacing w:after="100" w:line="240" w:lineRule="auto"/>
    </w:pPr>
    <w:rPr>
      <w:rFonts w:ascii="Arial" w:hAnsi="Arial" w:cs="Arial"/>
      <w:sz w:val="20"/>
    </w:rPr>
  </w:style>
  <w:style w:type="paragraph" w:styleId="Heading1">
    <w:name w:val="heading 1"/>
    <w:basedOn w:val="Normal"/>
    <w:next w:val="Normal"/>
    <w:link w:val="Heading1Char"/>
    <w:uiPriority w:val="9"/>
    <w:qFormat/>
    <w:rsid w:val="00DB5763"/>
    <w:pPr>
      <w:keepNext/>
      <w:keepLines/>
      <w:spacing w:before="200" w:after="200"/>
      <w:outlineLvl w:val="0"/>
    </w:pPr>
    <w:rPr>
      <w:rFonts w:ascii="Rockwell" w:eastAsiaTheme="majorEastAsia" w:hAnsi="Rockwell" w:cstheme="majorBidi"/>
      <w:bCs/>
      <w:color w:val="860908" w:themeColor="accent1"/>
      <w:sz w:val="32"/>
      <w:szCs w:val="28"/>
    </w:rPr>
  </w:style>
  <w:style w:type="paragraph" w:styleId="Heading2">
    <w:name w:val="heading 2"/>
    <w:basedOn w:val="Normal"/>
    <w:next w:val="Normal"/>
    <w:link w:val="Heading2Char"/>
    <w:uiPriority w:val="9"/>
    <w:unhideWhenUsed/>
    <w:qFormat/>
    <w:rsid w:val="00EE717A"/>
    <w:pPr>
      <w:keepNext/>
      <w:keepLines/>
      <w:spacing w:before="200" w:after="200"/>
      <w:outlineLvl w:val="1"/>
    </w:pPr>
    <w:rPr>
      <w:rFonts w:ascii="Rockwell" w:eastAsiaTheme="majorEastAsia" w:hAnsi="Rockwell" w:cstheme="majorBidi"/>
      <w:bCs/>
      <w:color w:val="860908" w:themeColor="accent1"/>
      <w:sz w:val="24"/>
      <w:szCs w:val="28"/>
    </w:rPr>
  </w:style>
  <w:style w:type="paragraph" w:styleId="Heading3">
    <w:name w:val="heading 3"/>
    <w:basedOn w:val="Normal"/>
    <w:next w:val="Normal"/>
    <w:link w:val="Heading3Char"/>
    <w:uiPriority w:val="9"/>
    <w:unhideWhenUsed/>
    <w:qFormat/>
    <w:rsid w:val="000B70D9"/>
    <w:pPr>
      <w:keepNext/>
      <w:keepLines/>
      <w:spacing w:before="20" w:after="0"/>
      <w:outlineLvl w:val="2"/>
    </w:pPr>
    <w:rPr>
      <w:rFonts w:ascii="Rockwell" w:eastAsiaTheme="majorEastAsia" w:hAnsi="Rockwell" w:cstheme="majorBidi"/>
      <w:bCs/>
      <w:color w:val="860908" w:themeColor="accent1"/>
      <w:sz w:val="24"/>
    </w:rPr>
  </w:style>
  <w:style w:type="paragraph" w:styleId="Heading4">
    <w:name w:val="heading 4"/>
    <w:basedOn w:val="Normal"/>
    <w:next w:val="Normal"/>
    <w:link w:val="Heading4Char"/>
    <w:uiPriority w:val="9"/>
    <w:unhideWhenUsed/>
    <w:qFormat/>
    <w:rsid w:val="000B70D9"/>
    <w:pPr>
      <w:keepNext/>
      <w:keepLines/>
      <w:spacing w:before="200" w:after="0"/>
      <w:outlineLvl w:val="3"/>
    </w:pPr>
    <w:rPr>
      <w:rFonts w:asciiTheme="majorHAnsi" w:eastAsiaTheme="majorEastAsia" w:hAnsiTheme="majorHAnsi" w:cstheme="majorBidi"/>
      <w:b/>
      <w:bCs/>
      <w:i/>
      <w:iCs/>
      <w:color w:val="262626" w:themeColor="text1" w:themeTint="D9"/>
    </w:rPr>
  </w:style>
  <w:style w:type="paragraph" w:styleId="Heading5">
    <w:name w:val="heading 5"/>
    <w:basedOn w:val="Normal"/>
    <w:next w:val="Normal"/>
    <w:link w:val="Heading5Char"/>
    <w:uiPriority w:val="9"/>
    <w:semiHidden/>
    <w:unhideWhenUsed/>
    <w:qFormat/>
    <w:rsid w:val="000B70D9"/>
    <w:pPr>
      <w:keepNext/>
      <w:keepLines/>
      <w:spacing w:before="200" w:after="0"/>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rsid w:val="000B70D9"/>
    <w:pPr>
      <w:keepNext/>
      <w:keepLines/>
      <w:spacing w:before="200" w:after="0"/>
      <w:outlineLvl w:val="5"/>
    </w:pPr>
    <w:rPr>
      <w:rFonts w:asciiTheme="majorHAnsi" w:eastAsiaTheme="majorEastAsia" w:hAnsiTheme="majorHAnsi" w:cstheme="majorBidi"/>
      <w:i/>
      <w:iCs/>
      <w:color w:val="000000" w:themeColor="text1"/>
    </w:rPr>
  </w:style>
  <w:style w:type="paragraph" w:styleId="Heading7">
    <w:name w:val="heading 7"/>
    <w:basedOn w:val="Normal"/>
    <w:next w:val="Normal"/>
    <w:link w:val="Heading7Char"/>
    <w:uiPriority w:val="9"/>
    <w:semiHidden/>
    <w:unhideWhenUsed/>
    <w:qFormat/>
    <w:rsid w:val="000B70D9"/>
    <w:pPr>
      <w:keepNext/>
      <w:keepLines/>
      <w:spacing w:before="200" w:after="0"/>
      <w:outlineLvl w:val="6"/>
    </w:pPr>
    <w:rPr>
      <w:rFonts w:asciiTheme="majorHAnsi" w:eastAsiaTheme="majorEastAsia" w:hAnsiTheme="majorHAnsi" w:cstheme="majorBidi"/>
      <w:i/>
      <w:iCs/>
      <w:color w:val="584D2E" w:themeColor="text2"/>
    </w:rPr>
  </w:style>
  <w:style w:type="paragraph" w:styleId="Heading8">
    <w:name w:val="heading 8"/>
    <w:basedOn w:val="Normal"/>
    <w:next w:val="Normal"/>
    <w:link w:val="Heading8Char"/>
    <w:uiPriority w:val="9"/>
    <w:semiHidden/>
    <w:unhideWhenUsed/>
    <w:qFormat/>
    <w:rsid w:val="000B70D9"/>
    <w:pPr>
      <w:keepNext/>
      <w:keepLines/>
      <w:spacing w:before="200" w:after="0"/>
      <w:outlineLvl w:val="7"/>
    </w:pPr>
    <w:rPr>
      <w:rFonts w:asciiTheme="majorHAnsi" w:eastAsiaTheme="majorEastAsia" w:hAnsiTheme="majorHAnsi" w:cstheme="majorBidi"/>
      <w:color w:val="000000"/>
      <w:szCs w:val="20"/>
    </w:rPr>
  </w:style>
  <w:style w:type="paragraph" w:styleId="Heading9">
    <w:name w:val="heading 9"/>
    <w:basedOn w:val="Normal"/>
    <w:next w:val="Normal"/>
    <w:link w:val="Heading9Char"/>
    <w:uiPriority w:val="9"/>
    <w:semiHidden/>
    <w:unhideWhenUsed/>
    <w:qFormat/>
    <w:rsid w:val="000B70D9"/>
    <w:pPr>
      <w:keepNext/>
      <w:keepLines/>
      <w:spacing w:before="200" w:after="0"/>
      <w:outlineLvl w:val="8"/>
    </w:pPr>
    <w:rPr>
      <w:rFonts w:asciiTheme="majorHAnsi" w:eastAsiaTheme="majorEastAsia" w:hAnsiTheme="majorHAnsi" w:cstheme="majorBidi"/>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5763"/>
    <w:rPr>
      <w:rFonts w:ascii="Rockwell" w:eastAsiaTheme="majorEastAsia" w:hAnsi="Rockwell" w:cstheme="majorBidi"/>
      <w:bCs/>
      <w:color w:val="860908" w:themeColor="accent1"/>
      <w:sz w:val="32"/>
      <w:szCs w:val="28"/>
    </w:rPr>
  </w:style>
  <w:style w:type="character" w:customStyle="1" w:styleId="Heading2Char">
    <w:name w:val="Heading 2 Char"/>
    <w:basedOn w:val="DefaultParagraphFont"/>
    <w:link w:val="Heading2"/>
    <w:uiPriority w:val="9"/>
    <w:rsid w:val="00EE717A"/>
    <w:rPr>
      <w:rFonts w:ascii="Rockwell" w:eastAsiaTheme="majorEastAsia" w:hAnsi="Rockwell" w:cstheme="majorBidi"/>
      <w:bCs/>
      <w:color w:val="860908" w:themeColor="accent1"/>
      <w:sz w:val="24"/>
      <w:szCs w:val="28"/>
    </w:rPr>
  </w:style>
  <w:style w:type="character" w:customStyle="1" w:styleId="Heading3Char">
    <w:name w:val="Heading 3 Char"/>
    <w:basedOn w:val="DefaultParagraphFont"/>
    <w:link w:val="Heading3"/>
    <w:uiPriority w:val="9"/>
    <w:rsid w:val="000B70D9"/>
    <w:rPr>
      <w:rFonts w:ascii="Rockwell" w:eastAsiaTheme="majorEastAsia" w:hAnsi="Rockwell" w:cstheme="majorBidi"/>
      <w:bCs/>
      <w:color w:val="860908" w:themeColor="accent1"/>
      <w:sz w:val="24"/>
    </w:rPr>
  </w:style>
  <w:style w:type="paragraph" w:styleId="BalloonText">
    <w:name w:val="Balloon Text"/>
    <w:basedOn w:val="Normal"/>
    <w:link w:val="BalloonTextChar"/>
    <w:uiPriority w:val="99"/>
    <w:semiHidden/>
    <w:unhideWhenUsed/>
    <w:rsid w:val="000B70D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70D9"/>
    <w:rPr>
      <w:rFonts w:ascii="Lucida Grande" w:hAnsi="Lucida Grande" w:cs="Lucida Grande"/>
      <w:color w:val="333333"/>
      <w:sz w:val="18"/>
      <w:szCs w:val="18"/>
    </w:rPr>
  </w:style>
  <w:style w:type="paragraph" w:styleId="Title">
    <w:name w:val="Title"/>
    <w:basedOn w:val="Normal"/>
    <w:next w:val="Normal"/>
    <w:link w:val="TitleChar"/>
    <w:uiPriority w:val="10"/>
    <w:qFormat/>
    <w:rsid w:val="000B70D9"/>
    <w:pPr>
      <w:spacing w:after="120"/>
      <w:contextualSpacing/>
    </w:pPr>
    <w:rPr>
      <w:rFonts w:ascii="Rockwell" w:eastAsiaTheme="majorEastAsia" w:hAnsi="Rockwell" w:cstheme="majorBidi"/>
      <w:color w:val="860908" w:themeColor="accent1"/>
      <w:kern w:val="28"/>
      <w:sz w:val="52"/>
      <w:szCs w:val="52"/>
    </w:rPr>
  </w:style>
  <w:style w:type="character" w:customStyle="1" w:styleId="TitleChar">
    <w:name w:val="Title Char"/>
    <w:basedOn w:val="DefaultParagraphFont"/>
    <w:link w:val="Title"/>
    <w:uiPriority w:val="10"/>
    <w:rsid w:val="000B70D9"/>
    <w:rPr>
      <w:rFonts w:ascii="Rockwell" w:eastAsiaTheme="majorEastAsia" w:hAnsi="Rockwell" w:cstheme="majorBidi"/>
      <w:color w:val="860908" w:themeColor="accent1"/>
      <w:kern w:val="28"/>
      <w:sz w:val="52"/>
      <w:szCs w:val="52"/>
    </w:rPr>
  </w:style>
  <w:style w:type="character" w:customStyle="1" w:styleId="Heading4Char">
    <w:name w:val="Heading 4 Char"/>
    <w:basedOn w:val="DefaultParagraphFont"/>
    <w:link w:val="Heading4"/>
    <w:uiPriority w:val="9"/>
    <w:rsid w:val="000B70D9"/>
    <w:rPr>
      <w:rFonts w:asciiTheme="majorHAnsi" w:eastAsiaTheme="majorEastAsia" w:hAnsiTheme="majorHAnsi" w:cstheme="majorBidi"/>
      <w:b/>
      <w:bCs/>
      <w:i/>
      <w:iCs/>
      <w:color w:val="262626" w:themeColor="text1" w:themeTint="D9"/>
      <w:sz w:val="20"/>
    </w:rPr>
  </w:style>
  <w:style w:type="character" w:customStyle="1" w:styleId="Heading5Char">
    <w:name w:val="Heading 5 Char"/>
    <w:basedOn w:val="DefaultParagraphFont"/>
    <w:link w:val="Heading5"/>
    <w:uiPriority w:val="9"/>
    <w:semiHidden/>
    <w:rsid w:val="000B70D9"/>
    <w:rPr>
      <w:rFonts w:asciiTheme="majorHAnsi" w:eastAsiaTheme="majorEastAsia" w:hAnsiTheme="majorHAnsi" w:cstheme="majorBidi"/>
      <w:color w:val="000000"/>
      <w:sz w:val="20"/>
    </w:rPr>
  </w:style>
  <w:style w:type="character" w:customStyle="1" w:styleId="Heading6Char">
    <w:name w:val="Heading 6 Char"/>
    <w:basedOn w:val="DefaultParagraphFont"/>
    <w:link w:val="Heading6"/>
    <w:uiPriority w:val="9"/>
    <w:semiHidden/>
    <w:rsid w:val="000B70D9"/>
    <w:rPr>
      <w:rFonts w:asciiTheme="majorHAnsi" w:eastAsiaTheme="majorEastAsia" w:hAnsiTheme="majorHAnsi" w:cstheme="majorBidi"/>
      <w:i/>
      <w:iCs/>
      <w:color w:val="000000" w:themeColor="text1"/>
      <w:sz w:val="20"/>
    </w:rPr>
  </w:style>
  <w:style w:type="character" w:customStyle="1" w:styleId="Heading7Char">
    <w:name w:val="Heading 7 Char"/>
    <w:basedOn w:val="DefaultParagraphFont"/>
    <w:link w:val="Heading7"/>
    <w:uiPriority w:val="9"/>
    <w:semiHidden/>
    <w:rsid w:val="000B70D9"/>
    <w:rPr>
      <w:rFonts w:asciiTheme="majorHAnsi" w:eastAsiaTheme="majorEastAsia" w:hAnsiTheme="majorHAnsi" w:cstheme="majorBidi"/>
      <w:i/>
      <w:iCs/>
      <w:color w:val="584D2E" w:themeColor="text2"/>
      <w:sz w:val="20"/>
    </w:rPr>
  </w:style>
  <w:style w:type="character" w:customStyle="1" w:styleId="Heading8Char">
    <w:name w:val="Heading 8 Char"/>
    <w:basedOn w:val="DefaultParagraphFont"/>
    <w:link w:val="Heading8"/>
    <w:uiPriority w:val="9"/>
    <w:semiHidden/>
    <w:rsid w:val="000B70D9"/>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0B70D9"/>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0B70D9"/>
    <w:rPr>
      <w:rFonts w:eastAsiaTheme="minorEastAsia"/>
      <w:b/>
      <w:bCs/>
      <w:smallCaps/>
      <w:color w:val="584D2E" w:themeColor="text2"/>
      <w:spacing w:val="6"/>
      <w:szCs w:val="18"/>
      <w:lang w:bidi="hi-IN"/>
    </w:rPr>
  </w:style>
  <w:style w:type="paragraph" w:styleId="Subtitle">
    <w:name w:val="Subtitle"/>
    <w:basedOn w:val="Normal"/>
    <w:next w:val="Normal"/>
    <w:link w:val="SubtitleChar"/>
    <w:uiPriority w:val="11"/>
    <w:qFormat/>
    <w:rsid w:val="000B70D9"/>
    <w:pPr>
      <w:numPr>
        <w:ilvl w:val="1"/>
      </w:numPr>
    </w:pPr>
    <w:rPr>
      <w:rFonts w:asciiTheme="majorHAnsi" w:eastAsiaTheme="majorEastAsia" w:hAnsiTheme="majorHAnsi" w:cstheme="majorBidi"/>
      <w:i/>
      <w:iCs/>
      <w:color w:val="666666"/>
      <w:sz w:val="32"/>
      <w:szCs w:val="24"/>
      <w:lang w:bidi="hi-IN"/>
    </w:rPr>
  </w:style>
  <w:style w:type="character" w:customStyle="1" w:styleId="SubtitleChar">
    <w:name w:val="Subtitle Char"/>
    <w:basedOn w:val="DefaultParagraphFont"/>
    <w:link w:val="Subtitle"/>
    <w:uiPriority w:val="11"/>
    <w:rsid w:val="000B70D9"/>
    <w:rPr>
      <w:rFonts w:asciiTheme="majorHAnsi" w:eastAsiaTheme="majorEastAsia" w:hAnsiTheme="majorHAnsi" w:cstheme="majorBidi"/>
      <w:i/>
      <w:iCs/>
      <w:color w:val="666666"/>
      <w:sz w:val="32"/>
      <w:szCs w:val="24"/>
      <w:lang w:bidi="hi-IN"/>
    </w:rPr>
  </w:style>
  <w:style w:type="character" w:styleId="Strong">
    <w:name w:val="Strong"/>
    <w:basedOn w:val="DefaultParagraphFont"/>
    <w:uiPriority w:val="22"/>
    <w:qFormat/>
    <w:rsid w:val="000B70D9"/>
    <w:rPr>
      <w:b/>
      <w:bCs/>
      <w:color w:val="70613A" w:themeColor="text2" w:themeTint="E6"/>
    </w:rPr>
  </w:style>
  <w:style w:type="character" w:styleId="Emphasis">
    <w:name w:val="Emphasis"/>
    <w:basedOn w:val="DefaultParagraphFont"/>
    <w:uiPriority w:val="20"/>
    <w:qFormat/>
    <w:rsid w:val="000B70D9"/>
    <w:rPr>
      <w:b w:val="0"/>
      <w:i/>
      <w:iCs/>
      <w:color w:val="584D2E" w:themeColor="text2"/>
    </w:rPr>
  </w:style>
  <w:style w:type="paragraph" w:styleId="NoSpacing">
    <w:name w:val="No Spacing"/>
    <w:link w:val="NoSpacingChar"/>
    <w:uiPriority w:val="1"/>
    <w:qFormat/>
    <w:rsid w:val="000B70D9"/>
    <w:pPr>
      <w:spacing w:after="0" w:line="240" w:lineRule="auto"/>
    </w:pPr>
  </w:style>
  <w:style w:type="paragraph" w:styleId="ListParagraph">
    <w:name w:val="List Paragraph"/>
    <w:basedOn w:val="Normal"/>
    <w:uiPriority w:val="34"/>
    <w:qFormat/>
    <w:rsid w:val="000B70D9"/>
    <w:pPr>
      <w:numPr>
        <w:numId w:val="3"/>
      </w:numPr>
      <w:contextualSpacing/>
    </w:pPr>
  </w:style>
  <w:style w:type="paragraph" w:styleId="Quote">
    <w:name w:val="Quote"/>
    <w:basedOn w:val="Normal"/>
    <w:next w:val="Normal"/>
    <w:link w:val="QuoteChar"/>
    <w:uiPriority w:val="29"/>
    <w:qFormat/>
    <w:rsid w:val="000B70D9"/>
    <w:pPr>
      <w:pBdr>
        <w:left w:val="single" w:sz="48" w:space="13" w:color="860908" w:themeColor="accent1"/>
      </w:pBdr>
      <w:spacing w:after="0" w:line="360" w:lineRule="auto"/>
    </w:pPr>
    <w:rPr>
      <w:rFonts w:asciiTheme="majorHAnsi" w:eastAsiaTheme="minorEastAsia" w:hAnsiTheme="majorHAnsi"/>
      <w:b/>
      <w:i/>
      <w:iCs/>
      <w:color w:val="860908" w:themeColor="accent1"/>
      <w:sz w:val="24"/>
      <w:lang w:bidi="hi-IN"/>
    </w:rPr>
  </w:style>
  <w:style w:type="character" w:customStyle="1" w:styleId="QuoteChar">
    <w:name w:val="Quote Char"/>
    <w:basedOn w:val="DefaultParagraphFont"/>
    <w:link w:val="Quote"/>
    <w:uiPriority w:val="29"/>
    <w:rsid w:val="000B70D9"/>
    <w:rPr>
      <w:rFonts w:asciiTheme="majorHAnsi" w:eastAsiaTheme="minorEastAsia" w:hAnsiTheme="majorHAnsi" w:cs="Arial"/>
      <w:b/>
      <w:i/>
      <w:iCs/>
      <w:color w:val="860908" w:themeColor="accent1"/>
      <w:sz w:val="24"/>
      <w:lang w:bidi="hi-IN"/>
    </w:rPr>
  </w:style>
  <w:style w:type="paragraph" w:styleId="IntenseQuote">
    <w:name w:val="Intense Quote"/>
    <w:basedOn w:val="Normal"/>
    <w:next w:val="Normal"/>
    <w:link w:val="IntenseQuoteChar"/>
    <w:uiPriority w:val="30"/>
    <w:qFormat/>
    <w:rsid w:val="000B70D9"/>
    <w:pPr>
      <w:pBdr>
        <w:left w:val="single" w:sz="48" w:space="13" w:color="4A0505" w:themeColor="accent2"/>
      </w:pBdr>
      <w:spacing w:before="240" w:after="120" w:line="300" w:lineRule="auto"/>
    </w:pPr>
    <w:rPr>
      <w:rFonts w:eastAsiaTheme="minorEastAsia"/>
      <w:b/>
      <w:bCs/>
      <w:i/>
      <w:iCs/>
      <w:color w:val="4A0505" w:themeColor="accent2"/>
      <w:sz w:val="26"/>
      <w:lang w:bidi="hi-IN"/>
    </w:rPr>
  </w:style>
  <w:style w:type="character" w:customStyle="1" w:styleId="IntenseQuoteChar">
    <w:name w:val="Intense Quote Char"/>
    <w:basedOn w:val="DefaultParagraphFont"/>
    <w:link w:val="IntenseQuote"/>
    <w:uiPriority w:val="30"/>
    <w:rsid w:val="000B70D9"/>
    <w:rPr>
      <w:rFonts w:ascii="Arial" w:eastAsiaTheme="minorEastAsia" w:hAnsi="Arial" w:cs="Arial"/>
      <w:b/>
      <w:bCs/>
      <w:i/>
      <w:iCs/>
      <w:color w:val="4A0505" w:themeColor="accent2"/>
      <w:sz w:val="26"/>
      <w:lang w:bidi="hi-IN"/>
    </w:rPr>
  </w:style>
  <w:style w:type="character" w:styleId="SubtleEmphasis">
    <w:name w:val="Subtle Emphasis"/>
    <w:basedOn w:val="DefaultParagraphFont"/>
    <w:uiPriority w:val="19"/>
    <w:qFormat/>
    <w:rsid w:val="000B70D9"/>
    <w:rPr>
      <w:i/>
      <w:iCs/>
      <w:color w:val="000000"/>
    </w:rPr>
  </w:style>
  <w:style w:type="character" w:styleId="IntenseEmphasis">
    <w:name w:val="Intense Emphasis"/>
    <w:basedOn w:val="DefaultParagraphFont"/>
    <w:uiPriority w:val="21"/>
    <w:qFormat/>
    <w:rsid w:val="000B70D9"/>
    <w:rPr>
      <w:b/>
      <w:bCs/>
      <w:i/>
      <w:iCs/>
      <w:color w:val="584D2E" w:themeColor="text2"/>
    </w:rPr>
  </w:style>
  <w:style w:type="character" w:styleId="SubtleReference">
    <w:name w:val="Subtle Reference"/>
    <w:basedOn w:val="DefaultParagraphFont"/>
    <w:uiPriority w:val="31"/>
    <w:qFormat/>
    <w:rsid w:val="000B70D9"/>
    <w:rPr>
      <w:smallCaps/>
      <w:color w:val="000000"/>
      <w:u w:val="single"/>
    </w:rPr>
  </w:style>
  <w:style w:type="character" w:styleId="IntenseReference">
    <w:name w:val="Intense Reference"/>
    <w:basedOn w:val="DefaultParagraphFont"/>
    <w:uiPriority w:val="32"/>
    <w:qFormat/>
    <w:rsid w:val="000B70D9"/>
    <w:rPr>
      <w:rFonts w:asciiTheme="minorHAnsi" w:hAnsiTheme="minorHAnsi"/>
      <w:b/>
      <w:bCs/>
      <w:smallCaps/>
      <w:color w:val="584D2E" w:themeColor="text2"/>
      <w:spacing w:val="5"/>
      <w:sz w:val="22"/>
      <w:u w:val="single"/>
    </w:rPr>
  </w:style>
  <w:style w:type="character" w:styleId="BookTitle">
    <w:name w:val="Book Title"/>
    <w:basedOn w:val="DefaultParagraphFont"/>
    <w:uiPriority w:val="33"/>
    <w:qFormat/>
    <w:rsid w:val="000B70D9"/>
    <w:rPr>
      <w:rFonts w:asciiTheme="majorHAnsi" w:hAnsiTheme="majorHAnsi"/>
      <w:b/>
      <w:bCs/>
      <w:caps w:val="0"/>
      <w:smallCaps/>
      <w:color w:val="584D2E" w:themeColor="text2"/>
      <w:spacing w:val="10"/>
      <w:sz w:val="22"/>
    </w:rPr>
  </w:style>
  <w:style w:type="paragraph" w:styleId="TOCHeading">
    <w:name w:val="TOC Heading"/>
    <w:basedOn w:val="Heading1"/>
    <w:next w:val="Normal"/>
    <w:uiPriority w:val="39"/>
    <w:semiHidden/>
    <w:unhideWhenUsed/>
    <w:qFormat/>
    <w:rsid w:val="000B70D9"/>
    <w:pPr>
      <w:spacing w:before="480" w:line="264" w:lineRule="auto"/>
      <w:outlineLvl w:val="9"/>
    </w:pPr>
    <w:rPr>
      <w:b/>
    </w:rPr>
  </w:style>
  <w:style w:type="paragraph" w:customStyle="1" w:styleId="PersonalName">
    <w:name w:val="Personal Name"/>
    <w:basedOn w:val="Title"/>
    <w:qFormat/>
    <w:rsid w:val="000B70D9"/>
    <w:rPr>
      <w:b/>
      <w:caps/>
      <w:color w:val="000000"/>
      <w:sz w:val="28"/>
      <w:szCs w:val="28"/>
    </w:rPr>
  </w:style>
  <w:style w:type="character" w:customStyle="1" w:styleId="NoSpacingChar">
    <w:name w:val="No Spacing Char"/>
    <w:basedOn w:val="DefaultParagraphFont"/>
    <w:link w:val="NoSpacing"/>
    <w:uiPriority w:val="1"/>
    <w:rsid w:val="000B70D9"/>
  </w:style>
  <w:style w:type="paragraph" w:styleId="Header">
    <w:name w:val="header"/>
    <w:basedOn w:val="Normal"/>
    <w:link w:val="HeaderChar"/>
    <w:uiPriority w:val="99"/>
    <w:unhideWhenUsed/>
    <w:rsid w:val="000B70D9"/>
    <w:pPr>
      <w:tabs>
        <w:tab w:val="center" w:pos="4320"/>
        <w:tab w:val="right" w:pos="8640"/>
      </w:tabs>
      <w:spacing w:after="0"/>
    </w:pPr>
  </w:style>
  <w:style w:type="character" w:customStyle="1" w:styleId="HeaderChar">
    <w:name w:val="Header Char"/>
    <w:basedOn w:val="DefaultParagraphFont"/>
    <w:link w:val="Header"/>
    <w:uiPriority w:val="99"/>
    <w:rsid w:val="000B70D9"/>
    <w:rPr>
      <w:rFonts w:ascii="Arial" w:hAnsi="Arial" w:cs="Arial"/>
      <w:color w:val="333333"/>
      <w:sz w:val="20"/>
    </w:rPr>
  </w:style>
  <w:style w:type="paragraph" w:styleId="Footer">
    <w:name w:val="footer"/>
    <w:basedOn w:val="Normal"/>
    <w:link w:val="FooterChar"/>
    <w:uiPriority w:val="99"/>
    <w:unhideWhenUsed/>
    <w:rsid w:val="000B70D9"/>
    <w:pPr>
      <w:tabs>
        <w:tab w:val="center" w:pos="4320"/>
        <w:tab w:val="right" w:pos="8640"/>
      </w:tabs>
      <w:spacing w:after="0"/>
    </w:pPr>
  </w:style>
  <w:style w:type="character" w:customStyle="1" w:styleId="FooterChar">
    <w:name w:val="Footer Char"/>
    <w:basedOn w:val="DefaultParagraphFont"/>
    <w:link w:val="Footer"/>
    <w:uiPriority w:val="99"/>
    <w:rsid w:val="000B70D9"/>
    <w:rPr>
      <w:rFonts w:ascii="Arial" w:hAnsi="Arial" w:cs="Arial"/>
      <w:color w:val="333333"/>
      <w:sz w:val="20"/>
    </w:rPr>
  </w:style>
  <w:style w:type="character" w:styleId="PageNumber">
    <w:name w:val="page number"/>
    <w:basedOn w:val="DefaultParagraphFont"/>
    <w:uiPriority w:val="99"/>
    <w:semiHidden/>
    <w:unhideWhenUsed/>
    <w:rsid w:val="000B70D9"/>
  </w:style>
  <w:style w:type="character" w:styleId="Hyperlink">
    <w:name w:val="Hyperlink"/>
    <w:basedOn w:val="DefaultParagraphFont"/>
    <w:uiPriority w:val="99"/>
    <w:unhideWhenUsed/>
    <w:rsid w:val="000B70D9"/>
    <w:rPr>
      <w:color w:val="C47810" w:themeColor="hyperlink"/>
      <w:u w:val="single"/>
    </w:rPr>
  </w:style>
  <w:style w:type="table" w:styleId="LightList-Accent1">
    <w:name w:val="Light List Accent 1"/>
    <w:basedOn w:val="TableNormal"/>
    <w:uiPriority w:val="61"/>
    <w:rsid w:val="000B70D9"/>
    <w:pPr>
      <w:spacing w:after="0" w:line="240" w:lineRule="auto"/>
    </w:pPr>
    <w:tblPr>
      <w:tblStyleRowBandSize w:val="1"/>
      <w:tblStyleColBandSize w:val="1"/>
      <w:tblBorders>
        <w:top w:val="single" w:sz="8" w:space="0" w:color="860908" w:themeColor="accent1"/>
        <w:left w:val="single" w:sz="8" w:space="0" w:color="860908" w:themeColor="accent1"/>
        <w:bottom w:val="single" w:sz="8" w:space="0" w:color="860908" w:themeColor="accent1"/>
        <w:right w:val="single" w:sz="8" w:space="0" w:color="860908" w:themeColor="accent1"/>
      </w:tblBorders>
    </w:tblPr>
    <w:tblStylePr w:type="firstRow">
      <w:pPr>
        <w:spacing w:before="0" w:after="0" w:line="240" w:lineRule="auto"/>
      </w:pPr>
      <w:rPr>
        <w:b/>
        <w:bCs/>
        <w:color w:val="FFFFFF" w:themeColor="background1"/>
      </w:rPr>
      <w:tblPr/>
      <w:tcPr>
        <w:shd w:val="clear" w:color="auto" w:fill="860908" w:themeFill="accent1"/>
      </w:tcPr>
    </w:tblStylePr>
    <w:tblStylePr w:type="lastRow">
      <w:pPr>
        <w:spacing w:before="0" w:after="0" w:line="240" w:lineRule="auto"/>
      </w:pPr>
      <w:rPr>
        <w:b/>
        <w:bCs/>
      </w:rPr>
      <w:tblPr/>
      <w:tcPr>
        <w:tcBorders>
          <w:top w:val="double" w:sz="6" w:space="0" w:color="860908" w:themeColor="accent1"/>
          <w:left w:val="single" w:sz="8" w:space="0" w:color="860908" w:themeColor="accent1"/>
          <w:bottom w:val="single" w:sz="8" w:space="0" w:color="860908" w:themeColor="accent1"/>
          <w:right w:val="single" w:sz="8" w:space="0" w:color="860908" w:themeColor="accent1"/>
        </w:tcBorders>
      </w:tcPr>
    </w:tblStylePr>
    <w:tblStylePr w:type="firstCol">
      <w:rPr>
        <w:b/>
        <w:bCs/>
      </w:rPr>
    </w:tblStylePr>
    <w:tblStylePr w:type="lastCol">
      <w:rPr>
        <w:b/>
        <w:bCs/>
      </w:rPr>
    </w:tblStylePr>
    <w:tblStylePr w:type="band1Vert">
      <w:tblPr/>
      <w:tcPr>
        <w:tcBorders>
          <w:top w:val="single" w:sz="8" w:space="0" w:color="860908" w:themeColor="accent1"/>
          <w:left w:val="single" w:sz="8" w:space="0" w:color="860908" w:themeColor="accent1"/>
          <w:bottom w:val="single" w:sz="8" w:space="0" w:color="860908" w:themeColor="accent1"/>
          <w:right w:val="single" w:sz="8" w:space="0" w:color="860908" w:themeColor="accent1"/>
        </w:tcBorders>
      </w:tcPr>
    </w:tblStylePr>
    <w:tblStylePr w:type="band1Horz">
      <w:tblPr/>
      <w:tcPr>
        <w:tcBorders>
          <w:top w:val="single" w:sz="8" w:space="0" w:color="860908" w:themeColor="accent1"/>
          <w:left w:val="single" w:sz="8" w:space="0" w:color="860908" w:themeColor="accent1"/>
          <w:bottom w:val="single" w:sz="8" w:space="0" w:color="860908" w:themeColor="accent1"/>
          <w:right w:val="single" w:sz="8" w:space="0" w:color="860908" w:themeColor="accent1"/>
        </w:tcBorders>
      </w:tcPr>
    </w:tblStylePr>
  </w:style>
  <w:style w:type="table" w:styleId="LightList-Accent3">
    <w:name w:val="Light List Accent 3"/>
    <w:basedOn w:val="TableNormal"/>
    <w:uiPriority w:val="61"/>
    <w:rsid w:val="000B70D9"/>
    <w:pPr>
      <w:spacing w:after="0" w:line="240" w:lineRule="auto"/>
    </w:pPr>
    <w:tblPr>
      <w:tblStyleRowBandSize w:val="1"/>
      <w:tblStyleColBandSize w:val="1"/>
      <w:tblBorders>
        <w:top w:val="single" w:sz="8" w:space="0" w:color="7A500A" w:themeColor="accent3"/>
        <w:left w:val="single" w:sz="8" w:space="0" w:color="7A500A" w:themeColor="accent3"/>
        <w:bottom w:val="single" w:sz="8" w:space="0" w:color="7A500A" w:themeColor="accent3"/>
        <w:right w:val="single" w:sz="8" w:space="0" w:color="7A500A" w:themeColor="accent3"/>
      </w:tblBorders>
    </w:tblPr>
    <w:tblStylePr w:type="firstRow">
      <w:pPr>
        <w:spacing w:before="0" w:after="0" w:line="240" w:lineRule="auto"/>
      </w:pPr>
      <w:rPr>
        <w:b/>
        <w:bCs/>
        <w:color w:val="FFFFFF" w:themeColor="background1"/>
      </w:rPr>
      <w:tblPr/>
      <w:tcPr>
        <w:shd w:val="clear" w:color="auto" w:fill="7A500A" w:themeFill="accent3"/>
      </w:tcPr>
    </w:tblStylePr>
    <w:tblStylePr w:type="lastRow">
      <w:pPr>
        <w:spacing w:before="0" w:after="0" w:line="240" w:lineRule="auto"/>
      </w:pPr>
      <w:rPr>
        <w:b/>
        <w:bCs/>
      </w:rPr>
      <w:tblPr/>
      <w:tcPr>
        <w:tcBorders>
          <w:top w:val="double" w:sz="6" w:space="0" w:color="7A500A" w:themeColor="accent3"/>
          <w:left w:val="single" w:sz="8" w:space="0" w:color="7A500A" w:themeColor="accent3"/>
          <w:bottom w:val="single" w:sz="8" w:space="0" w:color="7A500A" w:themeColor="accent3"/>
          <w:right w:val="single" w:sz="8" w:space="0" w:color="7A500A" w:themeColor="accent3"/>
        </w:tcBorders>
      </w:tcPr>
    </w:tblStylePr>
    <w:tblStylePr w:type="firstCol">
      <w:rPr>
        <w:b/>
        <w:bCs/>
      </w:rPr>
    </w:tblStylePr>
    <w:tblStylePr w:type="lastCol">
      <w:rPr>
        <w:b/>
        <w:bCs/>
      </w:rPr>
    </w:tblStylePr>
    <w:tblStylePr w:type="band1Vert">
      <w:tblPr/>
      <w:tcPr>
        <w:tcBorders>
          <w:top w:val="single" w:sz="8" w:space="0" w:color="7A500A" w:themeColor="accent3"/>
          <w:left w:val="single" w:sz="8" w:space="0" w:color="7A500A" w:themeColor="accent3"/>
          <w:bottom w:val="single" w:sz="8" w:space="0" w:color="7A500A" w:themeColor="accent3"/>
          <w:right w:val="single" w:sz="8" w:space="0" w:color="7A500A" w:themeColor="accent3"/>
        </w:tcBorders>
      </w:tcPr>
    </w:tblStylePr>
    <w:tblStylePr w:type="band1Horz">
      <w:tblPr/>
      <w:tcPr>
        <w:tcBorders>
          <w:top w:val="single" w:sz="8" w:space="0" w:color="7A500A" w:themeColor="accent3"/>
          <w:left w:val="single" w:sz="8" w:space="0" w:color="7A500A" w:themeColor="accent3"/>
          <w:bottom w:val="single" w:sz="8" w:space="0" w:color="7A500A" w:themeColor="accent3"/>
          <w:right w:val="single" w:sz="8" w:space="0" w:color="7A500A" w:themeColor="accent3"/>
        </w:tcBorders>
      </w:tcPr>
    </w:tblStylePr>
  </w:style>
  <w:style w:type="table" w:styleId="LightList-Accent4">
    <w:name w:val="Light List Accent 4"/>
    <w:basedOn w:val="TableNormal"/>
    <w:uiPriority w:val="61"/>
    <w:rsid w:val="000B70D9"/>
    <w:pPr>
      <w:spacing w:after="0" w:line="240" w:lineRule="auto"/>
    </w:pPr>
    <w:tblPr>
      <w:tblStyleRowBandSize w:val="1"/>
      <w:tblStyleColBandSize w:val="1"/>
      <w:tblBorders>
        <w:top w:val="single" w:sz="8" w:space="0" w:color="C47810" w:themeColor="accent4"/>
        <w:left w:val="single" w:sz="8" w:space="0" w:color="C47810" w:themeColor="accent4"/>
        <w:bottom w:val="single" w:sz="8" w:space="0" w:color="C47810" w:themeColor="accent4"/>
        <w:right w:val="single" w:sz="8" w:space="0" w:color="C47810" w:themeColor="accent4"/>
      </w:tblBorders>
    </w:tblPr>
    <w:tblStylePr w:type="firstRow">
      <w:pPr>
        <w:spacing w:before="0" w:after="0" w:line="240" w:lineRule="auto"/>
      </w:pPr>
      <w:rPr>
        <w:b/>
        <w:bCs/>
        <w:color w:val="FFFFFF" w:themeColor="background1"/>
      </w:rPr>
      <w:tblPr/>
      <w:tcPr>
        <w:shd w:val="clear" w:color="auto" w:fill="C47810" w:themeFill="accent4"/>
      </w:tcPr>
    </w:tblStylePr>
    <w:tblStylePr w:type="lastRow">
      <w:pPr>
        <w:spacing w:before="0" w:after="0" w:line="240" w:lineRule="auto"/>
      </w:pPr>
      <w:rPr>
        <w:b/>
        <w:bCs/>
      </w:rPr>
      <w:tblPr/>
      <w:tcPr>
        <w:tcBorders>
          <w:top w:val="double" w:sz="6" w:space="0" w:color="C47810" w:themeColor="accent4"/>
          <w:left w:val="single" w:sz="8" w:space="0" w:color="C47810" w:themeColor="accent4"/>
          <w:bottom w:val="single" w:sz="8" w:space="0" w:color="C47810" w:themeColor="accent4"/>
          <w:right w:val="single" w:sz="8" w:space="0" w:color="C47810" w:themeColor="accent4"/>
        </w:tcBorders>
      </w:tcPr>
    </w:tblStylePr>
    <w:tblStylePr w:type="firstCol">
      <w:rPr>
        <w:b/>
        <w:bCs/>
      </w:rPr>
    </w:tblStylePr>
    <w:tblStylePr w:type="lastCol">
      <w:rPr>
        <w:b/>
        <w:bCs/>
      </w:rPr>
    </w:tblStylePr>
    <w:tblStylePr w:type="band1Vert">
      <w:tblPr/>
      <w:tcPr>
        <w:tcBorders>
          <w:top w:val="single" w:sz="8" w:space="0" w:color="C47810" w:themeColor="accent4"/>
          <w:left w:val="single" w:sz="8" w:space="0" w:color="C47810" w:themeColor="accent4"/>
          <w:bottom w:val="single" w:sz="8" w:space="0" w:color="C47810" w:themeColor="accent4"/>
          <w:right w:val="single" w:sz="8" w:space="0" w:color="C47810" w:themeColor="accent4"/>
        </w:tcBorders>
      </w:tcPr>
    </w:tblStylePr>
    <w:tblStylePr w:type="band1Horz">
      <w:tblPr/>
      <w:tcPr>
        <w:tcBorders>
          <w:top w:val="single" w:sz="8" w:space="0" w:color="C47810" w:themeColor="accent4"/>
          <w:left w:val="single" w:sz="8" w:space="0" w:color="C47810" w:themeColor="accent4"/>
          <w:bottom w:val="single" w:sz="8" w:space="0" w:color="C47810" w:themeColor="accent4"/>
          <w:right w:val="single" w:sz="8" w:space="0" w:color="C47810" w:themeColor="accent4"/>
        </w:tcBorders>
      </w:tcPr>
    </w:tblStylePr>
  </w:style>
  <w:style w:type="table" w:styleId="LightList-Accent6">
    <w:name w:val="Light List Accent 6"/>
    <w:basedOn w:val="TableNormal"/>
    <w:uiPriority w:val="61"/>
    <w:rsid w:val="000B70D9"/>
    <w:pPr>
      <w:spacing w:after="0" w:line="240" w:lineRule="auto"/>
    </w:pPr>
    <w:tblPr>
      <w:tblStyleRowBandSize w:val="1"/>
      <w:tblStyleColBandSize w:val="1"/>
      <w:tblBorders>
        <w:top w:val="single" w:sz="8" w:space="0" w:color="B5BB83" w:themeColor="accent6"/>
        <w:left w:val="single" w:sz="8" w:space="0" w:color="B5BB83" w:themeColor="accent6"/>
        <w:bottom w:val="single" w:sz="8" w:space="0" w:color="B5BB83" w:themeColor="accent6"/>
        <w:right w:val="single" w:sz="8" w:space="0" w:color="B5BB83" w:themeColor="accent6"/>
      </w:tblBorders>
    </w:tblPr>
    <w:tblStylePr w:type="firstRow">
      <w:pPr>
        <w:spacing w:before="0" w:after="0" w:line="240" w:lineRule="auto"/>
      </w:pPr>
      <w:rPr>
        <w:b/>
        <w:bCs/>
        <w:color w:val="FFFFFF" w:themeColor="background1"/>
      </w:rPr>
      <w:tblPr/>
      <w:tcPr>
        <w:shd w:val="clear" w:color="auto" w:fill="B5BB83" w:themeFill="accent6"/>
      </w:tcPr>
    </w:tblStylePr>
    <w:tblStylePr w:type="lastRow">
      <w:pPr>
        <w:spacing w:before="0" w:after="0" w:line="240" w:lineRule="auto"/>
      </w:pPr>
      <w:rPr>
        <w:b/>
        <w:bCs/>
      </w:rPr>
      <w:tblPr/>
      <w:tcPr>
        <w:tcBorders>
          <w:top w:val="double" w:sz="6" w:space="0" w:color="B5BB83" w:themeColor="accent6"/>
          <w:left w:val="single" w:sz="8" w:space="0" w:color="B5BB83" w:themeColor="accent6"/>
          <w:bottom w:val="single" w:sz="8" w:space="0" w:color="B5BB83" w:themeColor="accent6"/>
          <w:right w:val="single" w:sz="8" w:space="0" w:color="B5BB83" w:themeColor="accent6"/>
        </w:tcBorders>
      </w:tcPr>
    </w:tblStylePr>
    <w:tblStylePr w:type="firstCol">
      <w:rPr>
        <w:b/>
        <w:bCs/>
      </w:rPr>
    </w:tblStylePr>
    <w:tblStylePr w:type="lastCol">
      <w:rPr>
        <w:b/>
        <w:bCs/>
      </w:rPr>
    </w:tblStylePr>
    <w:tblStylePr w:type="band1Vert">
      <w:tblPr/>
      <w:tcPr>
        <w:tcBorders>
          <w:top w:val="single" w:sz="8" w:space="0" w:color="B5BB83" w:themeColor="accent6"/>
          <w:left w:val="single" w:sz="8" w:space="0" w:color="B5BB83" w:themeColor="accent6"/>
          <w:bottom w:val="single" w:sz="8" w:space="0" w:color="B5BB83" w:themeColor="accent6"/>
          <w:right w:val="single" w:sz="8" w:space="0" w:color="B5BB83" w:themeColor="accent6"/>
        </w:tcBorders>
      </w:tcPr>
    </w:tblStylePr>
    <w:tblStylePr w:type="band1Horz">
      <w:tblPr/>
      <w:tcPr>
        <w:tcBorders>
          <w:top w:val="single" w:sz="8" w:space="0" w:color="B5BB83" w:themeColor="accent6"/>
          <w:left w:val="single" w:sz="8" w:space="0" w:color="B5BB83" w:themeColor="accent6"/>
          <w:bottom w:val="single" w:sz="8" w:space="0" w:color="B5BB83" w:themeColor="accent6"/>
          <w:right w:val="single" w:sz="8" w:space="0" w:color="B5BB83" w:themeColor="accent6"/>
        </w:tcBorders>
      </w:tcPr>
    </w:tblStylePr>
  </w:style>
  <w:style w:type="table" w:styleId="TableGrid">
    <w:name w:val="Table Grid"/>
    <w:basedOn w:val="TableNormal"/>
    <w:uiPriority w:val="59"/>
    <w:rsid w:val="000B7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B8662A"/>
    <w:pPr>
      <w:spacing w:after="0"/>
      <w:ind w:left="360" w:hanging="360"/>
    </w:pPr>
    <w:rPr>
      <w:sz w:val="24"/>
      <w:szCs w:val="24"/>
    </w:rPr>
  </w:style>
  <w:style w:type="character" w:customStyle="1" w:styleId="FootnoteTextChar">
    <w:name w:val="Footnote Text Char"/>
    <w:basedOn w:val="DefaultParagraphFont"/>
    <w:link w:val="FootnoteText"/>
    <w:uiPriority w:val="99"/>
    <w:rsid w:val="00B8662A"/>
    <w:rPr>
      <w:rFonts w:ascii="Arial" w:hAnsi="Arial" w:cs="Arial"/>
      <w:sz w:val="24"/>
      <w:szCs w:val="24"/>
    </w:rPr>
  </w:style>
  <w:style w:type="character" w:styleId="FootnoteReference">
    <w:name w:val="footnote reference"/>
    <w:basedOn w:val="DefaultParagraphFont"/>
    <w:uiPriority w:val="99"/>
    <w:unhideWhenUsed/>
    <w:rsid w:val="00B8662A"/>
    <w:rPr>
      <w:vertAlign w:val="superscript"/>
    </w:rPr>
  </w:style>
  <w:style w:type="paragraph" w:customStyle="1" w:styleId="Normal1">
    <w:name w:val="Normal1"/>
    <w:autoRedefine/>
    <w:qFormat/>
    <w:rsid w:val="00B870D7"/>
    <w:pPr>
      <w:spacing w:before="240" w:after="0" w:line="240" w:lineRule="auto"/>
    </w:pPr>
    <w:rPr>
      <w:rFonts w:ascii="Franklin Gothic Book" w:eastAsia="Arial" w:hAnsi="Franklin Gothic Book" w:cs="Arial"/>
      <w:b/>
      <w:color w:val="000000"/>
      <w:sz w:val="18"/>
      <w:szCs w:val="18"/>
    </w:rPr>
  </w:style>
  <w:style w:type="character" w:customStyle="1" w:styleId="Heading1Char1">
    <w:name w:val="Heading 1 Char1"/>
    <w:uiPriority w:val="99"/>
    <w:qFormat/>
    <w:locked/>
    <w:rsid w:val="0085438C"/>
    <w:rPr>
      <w:rFonts w:ascii="Avenir Heavy" w:hAnsi="Avenir Heavy"/>
      <w:b w:val="0"/>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121645">
      <w:bodyDiv w:val="1"/>
      <w:marLeft w:val="0"/>
      <w:marRight w:val="0"/>
      <w:marTop w:val="0"/>
      <w:marBottom w:val="0"/>
      <w:divBdr>
        <w:top w:val="none" w:sz="0" w:space="0" w:color="auto"/>
        <w:left w:val="none" w:sz="0" w:space="0" w:color="auto"/>
        <w:bottom w:val="none" w:sz="0" w:space="0" w:color="auto"/>
        <w:right w:val="none" w:sz="0" w:space="0" w:color="auto"/>
      </w:divBdr>
    </w:div>
    <w:div w:id="125515185">
      <w:bodyDiv w:val="1"/>
      <w:marLeft w:val="0"/>
      <w:marRight w:val="0"/>
      <w:marTop w:val="0"/>
      <w:marBottom w:val="0"/>
      <w:divBdr>
        <w:top w:val="none" w:sz="0" w:space="0" w:color="auto"/>
        <w:left w:val="none" w:sz="0" w:space="0" w:color="auto"/>
        <w:bottom w:val="none" w:sz="0" w:space="0" w:color="auto"/>
        <w:right w:val="none" w:sz="0" w:space="0" w:color="auto"/>
      </w:divBdr>
    </w:div>
    <w:div w:id="276569554">
      <w:bodyDiv w:val="1"/>
      <w:marLeft w:val="0"/>
      <w:marRight w:val="0"/>
      <w:marTop w:val="0"/>
      <w:marBottom w:val="0"/>
      <w:divBdr>
        <w:top w:val="none" w:sz="0" w:space="0" w:color="auto"/>
        <w:left w:val="none" w:sz="0" w:space="0" w:color="auto"/>
        <w:bottom w:val="none" w:sz="0" w:space="0" w:color="auto"/>
        <w:right w:val="none" w:sz="0" w:space="0" w:color="auto"/>
      </w:divBdr>
    </w:div>
    <w:div w:id="332031029">
      <w:bodyDiv w:val="1"/>
      <w:marLeft w:val="0"/>
      <w:marRight w:val="0"/>
      <w:marTop w:val="0"/>
      <w:marBottom w:val="0"/>
      <w:divBdr>
        <w:top w:val="none" w:sz="0" w:space="0" w:color="auto"/>
        <w:left w:val="none" w:sz="0" w:space="0" w:color="auto"/>
        <w:bottom w:val="none" w:sz="0" w:space="0" w:color="auto"/>
        <w:right w:val="none" w:sz="0" w:space="0" w:color="auto"/>
      </w:divBdr>
    </w:div>
    <w:div w:id="899053699">
      <w:bodyDiv w:val="1"/>
      <w:marLeft w:val="0"/>
      <w:marRight w:val="0"/>
      <w:marTop w:val="0"/>
      <w:marBottom w:val="0"/>
      <w:divBdr>
        <w:top w:val="none" w:sz="0" w:space="0" w:color="auto"/>
        <w:left w:val="none" w:sz="0" w:space="0" w:color="auto"/>
        <w:bottom w:val="none" w:sz="0" w:space="0" w:color="auto"/>
        <w:right w:val="none" w:sz="0" w:space="0" w:color="auto"/>
      </w:divBdr>
    </w:div>
    <w:div w:id="1112171640">
      <w:bodyDiv w:val="1"/>
      <w:marLeft w:val="0"/>
      <w:marRight w:val="0"/>
      <w:marTop w:val="0"/>
      <w:marBottom w:val="0"/>
      <w:divBdr>
        <w:top w:val="none" w:sz="0" w:space="0" w:color="auto"/>
        <w:left w:val="none" w:sz="0" w:space="0" w:color="auto"/>
        <w:bottom w:val="none" w:sz="0" w:space="0" w:color="auto"/>
        <w:right w:val="none" w:sz="0" w:space="0" w:color="auto"/>
      </w:divBdr>
    </w:div>
    <w:div w:id="1146582580">
      <w:bodyDiv w:val="1"/>
      <w:marLeft w:val="0"/>
      <w:marRight w:val="0"/>
      <w:marTop w:val="0"/>
      <w:marBottom w:val="0"/>
      <w:divBdr>
        <w:top w:val="none" w:sz="0" w:space="0" w:color="auto"/>
        <w:left w:val="none" w:sz="0" w:space="0" w:color="auto"/>
        <w:bottom w:val="none" w:sz="0" w:space="0" w:color="auto"/>
        <w:right w:val="none" w:sz="0" w:space="0" w:color="auto"/>
      </w:divBdr>
    </w:div>
    <w:div w:id="1179078021">
      <w:bodyDiv w:val="1"/>
      <w:marLeft w:val="0"/>
      <w:marRight w:val="0"/>
      <w:marTop w:val="0"/>
      <w:marBottom w:val="0"/>
      <w:divBdr>
        <w:top w:val="none" w:sz="0" w:space="0" w:color="auto"/>
        <w:left w:val="none" w:sz="0" w:space="0" w:color="auto"/>
        <w:bottom w:val="none" w:sz="0" w:space="0" w:color="auto"/>
        <w:right w:val="none" w:sz="0" w:space="0" w:color="auto"/>
      </w:divBdr>
    </w:div>
    <w:div w:id="1194153830">
      <w:bodyDiv w:val="1"/>
      <w:marLeft w:val="0"/>
      <w:marRight w:val="0"/>
      <w:marTop w:val="0"/>
      <w:marBottom w:val="0"/>
      <w:divBdr>
        <w:top w:val="none" w:sz="0" w:space="0" w:color="auto"/>
        <w:left w:val="none" w:sz="0" w:space="0" w:color="auto"/>
        <w:bottom w:val="none" w:sz="0" w:space="0" w:color="auto"/>
        <w:right w:val="none" w:sz="0" w:space="0" w:color="auto"/>
      </w:divBdr>
    </w:div>
    <w:div w:id="1406957055">
      <w:bodyDiv w:val="1"/>
      <w:marLeft w:val="0"/>
      <w:marRight w:val="0"/>
      <w:marTop w:val="0"/>
      <w:marBottom w:val="0"/>
      <w:divBdr>
        <w:top w:val="none" w:sz="0" w:space="0" w:color="auto"/>
        <w:left w:val="none" w:sz="0" w:space="0" w:color="auto"/>
        <w:bottom w:val="none" w:sz="0" w:space="0" w:color="auto"/>
        <w:right w:val="none" w:sz="0" w:space="0" w:color="auto"/>
      </w:divBdr>
    </w:div>
    <w:div w:id="1520895654">
      <w:bodyDiv w:val="1"/>
      <w:marLeft w:val="0"/>
      <w:marRight w:val="0"/>
      <w:marTop w:val="0"/>
      <w:marBottom w:val="0"/>
      <w:divBdr>
        <w:top w:val="none" w:sz="0" w:space="0" w:color="auto"/>
        <w:left w:val="none" w:sz="0" w:space="0" w:color="auto"/>
        <w:bottom w:val="none" w:sz="0" w:space="0" w:color="auto"/>
        <w:right w:val="none" w:sz="0" w:space="0" w:color="auto"/>
      </w:divBdr>
    </w:div>
    <w:div w:id="1638488085">
      <w:bodyDiv w:val="1"/>
      <w:marLeft w:val="0"/>
      <w:marRight w:val="0"/>
      <w:marTop w:val="0"/>
      <w:marBottom w:val="0"/>
      <w:divBdr>
        <w:top w:val="none" w:sz="0" w:space="0" w:color="auto"/>
        <w:left w:val="none" w:sz="0" w:space="0" w:color="auto"/>
        <w:bottom w:val="none" w:sz="0" w:space="0" w:color="auto"/>
        <w:right w:val="none" w:sz="0" w:space="0" w:color="auto"/>
      </w:divBdr>
    </w:div>
    <w:div w:id="1690401334">
      <w:bodyDiv w:val="1"/>
      <w:marLeft w:val="0"/>
      <w:marRight w:val="0"/>
      <w:marTop w:val="0"/>
      <w:marBottom w:val="0"/>
      <w:divBdr>
        <w:top w:val="none" w:sz="0" w:space="0" w:color="auto"/>
        <w:left w:val="none" w:sz="0" w:space="0" w:color="auto"/>
        <w:bottom w:val="none" w:sz="0" w:space="0" w:color="auto"/>
        <w:right w:val="none" w:sz="0" w:space="0" w:color="auto"/>
      </w:divBdr>
    </w:div>
    <w:div w:id="1696224797">
      <w:bodyDiv w:val="1"/>
      <w:marLeft w:val="0"/>
      <w:marRight w:val="0"/>
      <w:marTop w:val="0"/>
      <w:marBottom w:val="0"/>
      <w:divBdr>
        <w:top w:val="none" w:sz="0" w:space="0" w:color="auto"/>
        <w:left w:val="none" w:sz="0" w:space="0" w:color="auto"/>
        <w:bottom w:val="none" w:sz="0" w:space="0" w:color="auto"/>
        <w:right w:val="none" w:sz="0" w:space="0" w:color="auto"/>
      </w:divBdr>
    </w:div>
    <w:div w:id="1713572419">
      <w:bodyDiv w:val="1"/>
      <w:marLeft w:val="0"/>
      <w:marRight w:val="0"/>
      <w:marTop w:val="0"/>
      <w:marBottom w:val="0"/>
      <w:divBdr>
        <w:top w:val="none" w:sz="0" w:space="0" w:color="auto"/>
        <w:left w:val="none" w:sz="0" w:space="0" w:color="auto"/>
        <w:bottom w:val="none" w:sz="0" w:space="0" w:color="auto"/>
        <w:right w:val="none" w:sz="0" w:space="0" w:color="auto"/>
      </w:divBdr>
    </w:div>
    <w:div w:id="19103792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sponsiblemining.net/irma-standard/"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aboulanger@responsiblemining.net" TargetMode="External"/><Relationship Id="rId4" Type="http://schemas.openxmlformats.org/officeDocument/2006/relationships/webSettings" Target="webSettings.xml"/><Relationship Id="rId9" Type="http://schemas.openxmlformats.org/officeDocument/2006/relationships/hyperlink" Target="http://www.isealalliance.org/our-work/defining-credibility/codes-of-good-practice/assurance-code"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5" Type="http://schemas.openxmlformats.org/officeDocument/2006/relationships/image" Target="../media/image9.jpeg"/><Relationship Id="rId4" Type="http://schemas.openxmlformats.org/officeDocument/2006/relationships/image" Target="../media/image8.jpeg"/></Relationships>
</file>

<file path=word/theme/theme1.xml><?xml version="1.0" encoding="utf-8"?>
<a:theme xmlns:a="http://schemas.openxmlformats.org/drawingml/2006/main" name="Inkwell">
  <a:themeElements>
    <a:clrScheme name="Inkwell">
      <a:dk1>
        <a:sysClr val="windowText" lastClr="000000"/>
      </a:dk1>
      <a:lt1>
        <a:sysClr val="window" lastClr="FFFFFF"/>
      </a:lt1>
      <a:dk2>
        <a:srgbClr val="584D2E"/>
      </a:dk2>
      <a:lt2>
        <a:srgbClr val="EFE7C3"/>
      </a:lt2>
      <a:accent1>
        <a:srgbClr val="860908"/>
      </a:accent1>
      <a:accent2>
        <a:srgbClr val="4A0505"/>
      </a:accent2>
      <a:accent3>
        <a:srgbClr val="7A500A"/>
      </a:accent3>
      <a:accent4>
        <a:srgbClr val="C47810"/>
      </a:accent4>
      <a:accent5>
        <a:srgbClr val="827752"/>
      </a:accent5>
      <a:accent6>
        <a:srgbClr val="B5BB83"/>
      </a:accent6>
      <a:hlink>
        <a:srgbClr val="C47810"/>
      </a:hlink>
      <a:folHlink>
        <a:srgbClr val="F0A43A"/>
      </a:folHlink>
    </a:clrScheme>
    <a:fontScheme name="Inkwell">
      <a:majorFont>
        <a:latin typeface="Goudy Old Style"/>
        <a:ea typeface=""/>
        <a:cs typeface=""/>
        <a:font script="Jpan" typeface="ＭＳ 明朝"/>
        <a:font script="Hans" typeface="宋体"/>
        <a:font script="Hant" typeface="新細明體"/>
      </a:majorFont>
      <a:minorFont>
        <a:latin typeface="Goudy Old Style"/>
        <a:ea typeface=""/>
        <a:cs typeface=""/>
        <a:font script="Jpan" typeface="ＭＳ 明朝"/>
        <a:font script="Hans" typeface="宋体"/>
        <a:font script="Hant" typeface="新細明體"/>
      </a:minorFont>
    </a:fontScheme>
    <a:fmtScheme name="Inkwell">
      <a:fillStyleLst>
        <a:solidFill>
          <a:schemeClr val="phClr"/>
        </a:solidFill>
        <a:blipFill rotWithShape="1">
          <a:blip xmlns:r="http://schemas.openxmlformats.org/officeDocument/2006/relationships" r:embed="rId1">
            <a:duotone>
              <a:schemeClr val="phClr">
                <a:shade val="30000"/>
              </a:schemeClr>
              <a:schemeClr val="phClr">
                <a:alpha val="10000"/>
                <a:satMod val="120000"/>
              </a:schemeClr>
            </a:duotone>
          </a:blip>
          <a:stretch/>
        </a:blipFill>
        <a:blipFill rotWithShape="1">
          <a:blip xmlns:r="http://schemas.openxmlformats.org/officeDocument/2006/relationships" r:embed="rId2">
            <a:duotone>
              <a:schemeClr val="phClr">
                <a:shade val="30000"/>
                <a:satMod val="150000"/>
              </a:schemeClr>
              <a:schemeClr val="phClr">
                <a:alpha val="10000"/>
                <a:satMod val="120000"/>
              </a:schemeClr>
            </a:duotone>
          </a:blip>
          <a:stretch/>
        </a:blipFill>
      </a:fillStyleLst>
      <a:lnStyleLst>
        <a:ln w="12700" cap="flat" cmpd="sng" algn="ctr">
          <a:solidFill>
            <a:schemeClr val="phClr">
              <a:shade val="95000"/>
              <a:satMod val="105000"/>
            </a:scheme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101600" dist="38100" dir="5400000" rotWithShape="0">
              <a:srgbClr val="000000">
                <a:alpha val="75000"/>
              </a:srgbClr>
            </a:outerShdw>
          </a:effectLst>
        </a:effectStyle>
        <a:effectStyle>
          <a:effectLst>
            <a:outerShdw blurRad="38100" dist="25400" dir="5400000" rotWithShape="0">
              <a:srgbClr val="000000">
                <a:alpha val="75000"/>
              </a:srgbClr>
            </a:outerShdw>
            <a:softEdge rad="25400"/>
          </a:effectLst>
        </a:effectStyle>
      </a:effectStyleLst>
      <a:bgFillStyleLst>
        <a:blipFill rotWithShape="1">
          <a:blip xmlns:r="http://schemas.openxmlformats.org/officeDocument/2006/relationships" r:embed="rId3"/>
          <a:stretch/>
        </a:blipFill>
        <a:blipFill rotWithShape="1">
          <a:blip xmlns:r="http://schemas.openxmlformats.org/officeDocument/2006/relationships" r:embed="rId4"/>
          <a:stretch/>
        </a:blipFill>
        <a:blipFill rotWithShape="1">
          <a:blip xmlns:r="http://schemas.openxmlformats.org/officeDocument/2006/relationships" r:embed="rId5"/>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974</Words>
  <Characters>5554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Wiebke Herding</dc:creator>
  <cp:keywords/>
  <dc:description/>
  <cp:lastModifiedBy>Lara Koritzke</cp:lastModifiedBy>
  <cp:revision>2</cp:revision>
  <cp:lastPrinted>2013-05-08T16:43:00Z</cp:lastPrinted>
  <dcterms:created xsi:type="dcterms:W3CDTF">2019-05-16T21:26:00Z</dcterms:created>
  <dcterms:modified xsi:type="dcterms:W3CDTF">2019-05-16T21:26:00Z</dcterms:modified>
</cp:coreProperties>
</file>